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88" w:rsidRPr="006142C6" w:rsidRDefault="00AB5BE6">
      <w:pPr>
        <w:rPr>
          <w:b/>
        </w:rPr>
      </w:pPr>
      <w:r w:rsidRPr="006142C6">
        <w:rPr>
          <w:b/>
        </w:rPr>
        <w:t>Object Identifiers</w:t>
      </w:r>
    </w:p>
    <w:p w:rsidR="008D55EB" w:rsidRDefault="008D55EB">
      <w:r>
        <w:t xml:space="preserve">Object Identifiers </w:t>
      </w:r>
      <w:r w:rsidR="00C852FF">
        <w:t xml:space="preserve">are simply </w:t>
      </w:r>
      <w:r>
        <w:t xml:space="preserve">the names assigned to things. </w:t>
      </w:r>
      <w:r w:rsidR="006142C6">
        <w:t>Object Identifiers can refer to objects of many types, including variation between abstract classes and actual instances</w:t>
      </w:r>
      <w:r w:rsidR="00B62145">
        <w:t xml:space="preserve"> and</w:t>
      </w:r>
      <w:r w:rsidR="006142C6">
        <w:t xml:space="preserve"> physical devices versus logical objects.  All of these things and more are named.</w:t>
      </w:r>
    </w:p>
    <w:p w:rsidR="005D18E1" w:rsidRPr="006142C6" w:rsidRDefault="00E51918">
      <w:pPr>
        <w:rPr>
          <w:b/>
        </w:rPr>
      </w:pPr>
      <w:r>
        <w:rPr>
          <w:b/>
        </w:rPr>
        <w:t xml:space="preserve">On </w:t>
      </w:r>
      <w:r w:rsidR="005D18E1" w:rsidRPr="006142C6">
        <w:rPr>
          <w:b/>
        </w:rPr>
        <w:t xml:space="preserve">Object Identifiers vs </w:t>
      </w:r>
      <w:r w:rsidR="006142C6" w:rsidRPr="006142C6">
        <w:rPr>
          <w:b/>
        </w:rPr>
        <w:t>ITU-T OIDs</w:t>
      </w:r>
    </w:p>
    <w:p w:rsidR="008D55EB" w:rsidRDefault="0085007C">
      <w:r>
        <w:t xml:space="preserve">Note that </w:t>
      </w:r>
      <w:r w:rsidR="008D55EB">
        <w:t xml:space="preserve">ITU-T </w:t>
      </w:r>
      <w:r>
        <w:t xml:space="preserve">defines a number of specifications pertaining to Object Identifiers (OIDs), but other implementations that are not ITU-T OIDs also can be considered Object Identifiers.  In this document we will use </w:t>
      </w:r>
      <w:r w:rsidR="00E51918">
        <w:t>“</w:t>
      </w:r>
      <w:r>
        <w:t>OID</w:t>
      </w:r>
      <w:r w:rsidR="00E51918">
        <w:t>”</w:t>
      </w:r>
      <w:r>
        <w:t xml:space="preserve"> to refer to ITU-T OIDs, and </w:t>
      </w:r>
      <w:r w:rsidR="00E51918">
        <w:t>“</w:t>
      </w:r>
      <w:r>
        <w:t>Object Identifier</w:t>
      </w:r>
      <w:r w:rsidR="00E51918">
        <w:t>”</w:t>
      </w:r>
      <w:r>
        <w:t xml:space="preserve"> to refer to the concept more broadly.</w:t>
      </w:r>
      <w:r w:rsidR="008D55EB">
        <w:t xml:space="preserve"> </w:t>
      </w:r>
    </w:p>
    <w:p w:rsidR="006142C6" w:rsidRPr="005D18E1" w:rsidRDefault="006142C6" w:rsidP="006142C6">
      <w:pPr>
        <w:rPr>
          <w:b/>
        </w:rPr>
      </w:pPr>
      <w:r>
        <w:rPr>
          <w:b/>
        </w:rPr>
        <w:t xml:space="preserve">Types </w:t>
      </w:r>
      <w:r w:rsidRPr="005D18E1">
        <w:rPr>
          <w:b/>
        </w:rPr>
        <w:t>of Identifiers</w:t>
      </w:r>
    </w:p>
    <w:p w:rsidR="006142C6" w:rsidRDefault="006142C6" w:rsidP="006142C6">
      <w:pPr>
        <w:pStyle w:val="ListParagraph"/>
        <w:numPr>
          <w:ilvl w:val="0"/>
          <w:numId w:val="3"/>
        </w:numPr>
      </w:pPr>
      <w:r>
        <w:t>Instances versus Class – does the identifier refer to a thing or to a type of thing?</w:t>
      </w:r>
    </w:p>
    <w:p w:rsidR="006142C6" w:rsidRDefault="006142C6" w:rsidP="006142C6">
      <w:pPr>
        <w:pStyle w:val="ListParagraph"/>
        <w:numPr>
          <w:ilvl w:val="0"/>
          <w:numId w:val="3"/>
        </w:numPr>
      </w:pPr>
      <w:r>
        <w:t>Unique versus non-unique – is every identifier issued to only one object?</w:t>
      </w:r>
    </w:p>
    <w:p w:rsidR="006142C6" w:rsidRDefault="006142C6" w:rsidP="006142C6">
      <w:pPr>
        <w:pStyle w:val="ListParagraph"/>
        <w:numPr>
          <w:ilvl w:val="0"/>
          <w:numId w:val="3"/>
        </w:numPr>
      </w:pPr>
      <w:r>
        <w:t>Synonyms versus no synonyms – are objects permitted multiple synonymous identifiers?</w:t>
      </w:r>
    </w:p>
    <w:p w:rsidR="006142C6" w:rsidRDefault="00E51918" w:rsidP="006142C6">
      <w:pPr>
        <w:pStyle w:val="ListParagraph"/>
        <w:numPr>
          <w:ilvl w:val="0"/>
          <w:numId w:val="3"/>
        </w:numPr>
      </w:pPr>
      <w:r>
        <w:t xml:space="preserve">Governance options – </w:t>
      </w:r>
      <w:r w:rsidR="006142C6">
        <w:t>How are names registered and managed?  Does one authority control the entire namespace, or is there hierarchical management?</w:t>
      </w:r>
    </w:p>
    <w:p w:rsidR="006142C6" w:rsidRDefault="006142C6" w:rsidP="006142C6">
      <w:pPr>
        <w:pStyle w:val="ListParagraph"/>
        <w:numPr>
          <w:ilvl w:val="0"/>
          <w:numId w:val="3"/>
        </w:numPr>
      </w:pPr>
      <w:r>
        <w:t>Human-usable versus mach</w:t>
      </w:r>
      <w:r w:rsidR="00E51918">
        <w:t>ine-usable</w:t>
      </w:r>
    </w:p>
    <w:p w:rsidR="00E51918" w:rsidRDefault="00E51918" w:rsidP="006142C6">
      <w:pPr>
        <w:pStyle w:val="ListParagraph"/>
        <w:numPr>
          <w:ilvl w:val="0"/>
          <w:numId w:val="3"/>
        </w:numPr>
      </w:pPr>
      <w:r>
        <w:t>Global versus local namespace</w:t>
      </w:r>
    </w:p>
    <w:p w:rsidR="00B22180" w:rsidRPr="006142C6" w:rsidRDefault="00B22180" w:rsidP="00C852FF">
      <w:pPr>
        <w:rPr>
          <w:b/>
        </w:rPr>
      </w:pPr>
      <w:r w:rsidRPr="006142C6">
        <w:rPr>
          <w:b/>
        </w:rPr>
        <w:t>Types of Objects</w:t>
      </w:r>
    </w:p>
    <w:p w:rsidR="00B22180" w:rsidRDefault="00B22180">
      <w:r>
        <w:t xml:space="preserve">The concept of object identification applies to numerous types of objects. Names can identify specific instances of objects or they can refer to classes of object – </w:t>
      </w:r>
      <w:r w:rsidR="00C852FF">
        <w:t xml:space="preserve">consider </w:t>
      </w:r>
      <w:r>
        <w:t>a network device, it is important to identify the specific network interface associated with that device, and it is also important to identify the type of device.</w:t>
      </w:r>
    </w:p>
    <w:p w:rsidR="00E51918" w:rsidRDefault="00E51918" w:rsidP="00E51918">
      <w:pPr>
        <w:pStyle w:val="ListParagraph"/>
        <w:numPr>
          <w:ilvl w:val="0"/>
          <w:numId w:val="4"/>
        </w:numPr>
      </w:pPr>
      <w:r>
        <w:t xml:space="preserve">Physical versus Logical </w:t>
      </w:r>
    </w:p>
    <w:p w:rsidR="00E51918" w:rsidRPr="00E51918" w:rsidRDefault="00B62145" w:rsidP="00E51918">
      <w:pPr>
        <w:pStyle w:val="ListParagraph"/>
        <w:numPr>
          <w:ilvl w:val="0"/>
          <w:numId w:val="4"/>
        </w:numPr>
        <w:rPr>
          <w:i/>
        </w:rPr>
      </w:pPr>
      <w:r>
        <w:rPr>
          <w:i/>
        </w:rPr>
        <w:t>What else</w:t>
      </w:r>
      <w:r w:rsidR="00E51918" w:rsidRPr="00E51918">
        <w:rPr>
          <w:i/>
        </w:rPr>
        <w:t>?</w:t>
      </w:r>
    </w:p>
    <w:p w:rsidR="00AB5BE6" w:rsidRPr="006142C6" w:rsidRDefault="00AB5BE6">
      <w:pPr>
        <w:rPr>
          <w:b/>
        </w:rPr>
      </w:pPr>
      <w:r w:rsidRPr="006142C6">
        <w:rPr>
          <w:b/>
        </w:rPr>
        <w:t xml:space="preserve">Physical </w:t>
      </w:r>
      <w:r w:rsidR="002B5FDA" w:rsidRPr="006142C6">
        <w:rPr>
          <w:b/>
        </w:rPr>
        <w:t>Objects</w:t>
      </w:r>
    </w:p>
    <w:p w:rsidR="00B22180" w:rsidRDefault="00B22180">
      <w:r>
        <w:t xml:space="preserve">Object Identifiers </w:t>
      </w:r>
      <w:r w:rsidR="002B5FDA">
        <w:t xml:space="preserve">are </w:t>
      </w:r>
      <w:r>
        <w:t>applied to any number of things found in the physical world: computing devices</w:t>
      </w:r>
      <w:r w:rsidR="002B5FDA">
        <w:t>, mobile devices,</w:t>
      </w:r>
      <w:r>
        <w:t xml:space="preserve"> servers, network infrastructure, meters, sensors, cameras, actuators, locks, medical implants, veh</w:t>
      </w:r>
      <w:r w:rsidR="002B5FDA">
        <w:t>icles (and vehicle components) and more.  Each of those things can be referenced by an identifier, and additional identifying information can be conveyed regarding relationships to other objects.  For example a server may have a unique hostname, but also be assigned a number of IP addresses corresponding to its physical network interfaces.  The full identification of the system would include the name of the server, the IP address of each network interface and the association between the server and the network interfaces.</w:t>
      </w:r>
      <w:r w:rsidR="006142C6">
        <w:t xml:space="preserve">  </w:t>
      </w:r>
    </w:p>
    <w:p w:rsidR="0085007C" w:rsidRDefault="0085007C">
      <w:r>
        <w:t xml:space="preserve">ITU-T OIDs </w:t>
      </w:r>
      <w:r w:rsidR="00E51918">
        <w:t xml:space="preserve">can be </w:t>
      </w:r>
      <w:r>
        <w:t>used to refer to physical objects, prominently in the Management Information Base (MIBs) used by the Simple Network Management Protocol (SNMP).</w:t>
      </w:r>
    </w:p>
    <w:p w:rsidR="002B5FDA" w:rsidRPr="006142C6" w:rsidRDefault="002B5FDA">
      <w:pPr>
        <w:rPr>
          <w:b/>
        </w:rPr>
      </w:pPr>
      <w:r w:rsidRPr="006142C6">
        <w:rPr>
          <w:b/>
        </w:rPr>
        <w:lastRenderedPageBreak/>
        <w:t>Logical Objects</w:t>
      </w:r>
    </w:p>
    <w:p w:rsidR="0085007C" w:rsidRPr="00B62145" w:rsidRDefault="002B5FDA">
      <w:pPr>
        <w:rPr>
          <w:i/>
        </w:rPr>
      </w:pPr>
      <w:r>
        <w:t xml:space="preserve">In addition to physical things, the area of identification of logical objects deserves consideration.  Logical objects include software, services, data and databases, documents and other digital objects, and more.  Identification of software is an area of considerable interest to a number of organizations, and approaches include Software </w:t>
      </w:r>
      <w:r w:rsidR="006142C6">
        <w:t xml:space="preserve">ID </w:t>
      </w:r>
      <w:r>
        <w:t>Tags and the Common Platform Enumeration.</w:t>
      </w:r>
      <w:r w:rsidR="00E51918">
        <w:t xml:space="preserve">  </w:t>
      </w:r>
      <w:r w:rsidR="0085007C">
        <w:t xml:space="preserve">ITU-T OIDs </w:t>
      </w:r>
      <w:r w:rsidR="00E51918">
        <w:t xml:space="preserve">can be </w:t>
      </w:r>
      <w:r w:rsidR="0085007C">
        <w:t xml:space="preserve">used to refer to a number of logical objects, </w:t>
      </w:r>
      <w:r w:rsidR="006142C6">
        <w:t>including (</w:t>
      </w:r>
      <w:r w:rsidR="00E51918" w:rsidRPr="00E51918">
        <w:rPr>
          <w:i/>
        </w:rPr>
        <w:t>TBD</w:t>
      </w:r>
      <w:r w:rsidR="00E51918">
        <w:t xml:space="preserve"> </w:t>
      </w:r>
      <w:r w:rsidR="006142C6" w:rsidRPr="00E51918">
        <w:rPr>
          <w:i/>
        </w:rPr>
        <w:t xml:space="preserve">pull from </w:t>
      </w:r>
      <w:hyperlink r:id="rId9" w:history="1">
        <w:r w:rsidR="0085007C" w:rsidRPr="00E51918">
          <w:rPr>
            <w:rStyle w:val="Hyperlink"/>
            <w:i/>
          </w:rPr>
          <w:t xml:space="preserve">OID </w:t>
        </w:r>
        <w:r w:rsidR="00E51918">
          <w:rPr>
            <w:rStyle w:val="Hyperlink"/>
            <w:i/>
          </w:rPr>
          <w:t>flyer</w:t>
        </w:r>
      </w:hyperlink>
      <w:r w:rsidR="0085007C">
        <w:t>)</w:t>
      </w:r>
      <w:r w:rsidR="00E51918">
        <w:t>.</w:t>
      </w:r>
      <w:r w:rsidR="00B62145">
        <w:t xml:space="preserve">  Web services can be identified by the URL used to access them.  The Digital Object Identifier (DOI) standard is standardized as </w:t>
      </w:r>
      <w:r w:rsidR="00B62145" w:rsidRPr="00B62145">
        <w:t>ISO 26324:2012</w:t>
      </w:r>
      <w:r w:rsidR="00B62145">
        <w:t xml:space="preserve">, and provides a way of </w:t>
      </w:r>
      <w:r w:rsidR="00B62145">
        <w:t xml:space="preserve">directly </w:t>
      </w:r>
      <w:r w:rsidR="00B62145">
        <w:t>referencing digital objects as opposed to using a URL to identify how to access the document, which may not remain valid over time.</w:t>
      </w:r>
    </w:p>
    <w:p w:rsidR="004E4540" w:rsidRDefault="004E4540" w:rsidP="00C16BBB">
      <w:pPr>
        <w:rPr>
          <w:b/>
        </w:rPr>
      </w:pPr>
      <w:bookmarkStart w:id="0" w:name="_GoBack"/>
      <w:bookmarkEnd w:id="0"/>
      <w:r>
        <w:rPr>
          <w:b/>
        </w:rPr>
        <w:t>References</w:t>
      </w:r>
    </w:p>
    <w:tbl>
      <w:tblPr>
        <w:tblStyle w:val="TableGrid"/>
        <w:tblW w:w="0" w:type="auto"/>
        <w:tblLayout w:type="fixed"/>
        <w:tblLook w:val="04A0" w:firstRow="1" w:lastRow="0" w:firstColumn="1" w:lastColumn="0" w:noHBand="0" w:noVBand="1"/>
      </w:tblPr>
      <w:tblGrid>
        <w:gridCol w:w="1638"/>
        <w:gridCol w:w="2520"/>
        <w:gridCol w:w="4568"/>
        <w:gridCol w:w="850"/>
      </w:tblGrid>
      <w:tr w:rsidR="004E4540" w:rsidTr="005D18E1">
        <w:tc>
          <w:tcPr>
            <w:tcW w:w="1638" w:type="dxa"/>
          </w:tcPr>
          <w:p w:rsidR="004E4540" w:rsidRPr="005D18E1" w:rsidRDefault="004E4540" w:rsidP="00C16BBB">
            <w:pPr>
              <w:rPr>
                <w:sz w:val="20"/>
              </w:rPr>
            </w:pPr>
            <w:r w:rsidRPr="005D18E1">
              <w:rPr>
                <w:sz w:val="20"/>
              </w:rPr>
              <w:t>ISO 19770 Syllabus</w:t>
            </w:r>
          </w:p>
        </w:tc>
        <w:tc>
          <w:tcPr>
            <w:tcW w:w="2520" w:type="dxa"/>
          </w:tcPr>
          <w:p w:rsidR="004E4540" w:rsidRPr="005D18E1" w:rsidRDefault="004E4540" w:rsidP="00C16BBB">
            <w:pPr>
              <w:rPr>
                <w:sz w:val="20"/>
              </w:rPr>
            </w:pPr>
          </w:p>
        </w:tc>
        <w:tc>
          <w:tcPr>
            <w:tcW w:w="4568" w:type="dxa"/>
          </w:tcPr>
          <w:p w:rsidR="004E4540" w:rsidRPr="005D18E1" w:rsidRDefault="005F673D" w:rsidP="00C16BBB">
            <w:pPr>
              <w:rPr>
                <w:sz w:val="20"/>
              </w:rPr>
            </w:pPr>
            <w:hyperlink r:id="rId10" w:history="1">
              <w:r w:rsidR="004E4540" w:rsidRPr="005D18E1">
                <w:rPr>
                  <w:rStyle w:val="Hyperlink"/>
                  <w:sz w:val="20"/>
                </w:rPr>
                <w:t>http://www.sassafras.com/iso/19770Syllabus.pdf</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C16BBB">
            <w:pPr>
              <w:rPr>
                <w:sz w:val="20"/>
              </w:rPr>
            </w:pPr>
            <w:r w:rsidRPr="005D18E1">
              <w:rPr>
                <w:sz w:val="20"/>
              </w:rPr>
              <w:t>SWID Schema</w:t>
            </w:r>
          </w:p>
        </w:tc>
        <w:tc>
          <w:tcPr>
            <w:tcW w:w="2520" w:type="dxa"/>
          </w:tcPr>
          <w:p w:rsidR="004E4540" w:rsidRPr="005D18E1" w:rsidRDefault="006142C6" w:rsidP="00C16BBB">
            <w:pPr>
              <w:rPr>
                <w:sz w:val="20"/>
              </w:rPr>
            </w:pPr>
            <w:r>
              <w:rPr>
                <w:sz w:val="20"/>
              </w:rPr>
              <w:t>XML schema for ISO/IEC 19770 Software ID Tags</w:t>
            </w:r>
          </w:p>
        </w:tc>
        <w:tc>
          <w:tcPr>
            <w:tcW w:w="4568" w:type="dxa"/>
          </w:tcPr>
          <w:p w:rsidR="004E4540" w:rsidRPr="005D18E1" w:rsidRDefault="005F673D" w:rsidP="00C16BBB">
            <w:pPr>
              <w:rPr>
                <w:sz w:val="20"/>
              </w:rPr>
            </w:pPr>
            <w:hyperlink r:id="rId11" w:history="1">
              <w:r w:rsidR="004E4540" w:rsidRPr="005D18E1">
                <w:rPr>
                  <w:rStyle w:val="Hyperlink"/>
                  <w:sz w:val="20"/>
                </w:rPr>
                <w:t>http://standards.iso.org/iso/19770/-2/2009/schema.xsd</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4E4540">
            <w:pPr>
              <w:rPr>
                <w:sz w:val="20"/>
              </w:rPr>
            </w:pPr>
            <w:r w:rsidRPr="005D18E1">
              <w:rPr>
                <w:sz w:val="20"/>
              </w:rPr>
              <w:t xml:space="preserve">NIST IR 7693 </w:t>
            </w:r>
          </w:p>
        </w:tc>
        <w:tc>
          <w:tcPr>
            <w:tcW w:w="2520" w:type="dxa"/>
          </w:tcPr>
          <w:p w:rsidR="004E4540" w:rsidRPr="005D18E1" w:rsidRDefault="004E4540" w:rsidP="00C16BBB">
            <w:pPr>
              <w:rPr>
                <w:sz w:val="20"/>
              </w:rPr>
            </w:pPr>
            <w:r w:rsidRPr="005D18E1">
              <w:rPr>
                <w:sz w:val="20"/>
              </w:rPr>
              <w:t>Specification for Asset Identification</w:t>
            </w:r>
          </w:p>
        </w:tc>
        <w:tc>
          <w:tcPr>
            <w:tcW w:w="4568" w:type="dxa"/>
          </w:tcPr>
          <w:p w:rsidR="004E4540" w:rsidRPr="005D18E1" w:rsidRDefault="005F673D" w:rsidP="00C16BBB">
            <w:pPr>
              <w:rPr>
                <w:sz w:val="20"/>
              </w:rPr>
            </w:pPr>
            <w:hyperlink r:id="rId12" w:history="1">
              <w:r w:rsidR="004E4540" w:rsidRPr="005D18E1">
                <w:rPr>
                  <w:rStyle w:val="Hyperlink"/>
                  <w:sz w:val="20"/>
                </w:rPr>
                <w:t>http://csrc.nist.gov/publications/nistir/ir7693/NISTIR-7693.pdf</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4E4540">
            <w:pPr>
              <w:rPr>
                <w:sz w:val="20"/>
              </w:rPr>
            </w:pPr>
            <w:r w:rsidRPr="005D18E1">
              <w:rPr>
                <w:sz w:val="20"/>
              </w:rPr>
              <w:t>NIST IR 7695</w:t>
            </w:r>
            <w:r w:rsidRPr="005D18E1">
              <w:rPr>
                <w:sz w:val="20"/>
              </w:rPr>
              <w:br/>
            </w:r>
          </w:p>
        </w:tc>
        <w:tc>
          <w:tcPr>
            <w:tcW w:w="2520" w:type="dxa"/>
          </w:tcPr>
          <w:p w:rsidR="004E4540" w:rsidRPr="005D18E1" w:rsidRDefault="004E4540" w:rsidP="00C16BBB">
            <w:pPr>
              <w:rPr>
                <w:sz w:val="20"/>
              </w:rPr>
            </w:pPr>
            <w:r w:rsidRPr="005D18E1">
              <w:rPr>
                <w:sz w:val="20"/>
              </w:rPr>
              <w:t>Common Platform Enumeration: Naming Specification Version 2.3</w:t>
            </w:r>
          </w:p>
        </w:tc>
        <w:tc>
          <w:tcPr>
            <w:tcW w:w="4568" w:type="dxa"/>
          </w:tcPr>
          <w:p w:rsidR="004E4540" w:rsidRPr="005D18E1" w:rsidRDefault="005F673D" w:rsidP="00C16BBB">
            <w:pPr>
              <w:rPr>
                <w:sz w:val="20"/>
              </w:rPr>
            </w:pPr>
            <w:hyperlink r:id="rId13" w:history="1">
              <w:r w:rsidR="004E4540" w:rsidRPr="005D18E1">
                <w:rPr>
                  <w:rStyle w:val="Hyperlink"/>
                  <w:sz w:val="20"/>
                </w:rPr>
                <w:t>http://csrc.nist.gov/publications/nistir/ir7695/NISTIR-7695-CPE-Naming.pdf</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4E4540">
            <w:pPr>
              <w:rPr>
                <w:sz w:val="20"/>
              </w:rPr>
            </w:pPr>
            <w:r w:rsidRPr="005D18E1">
              <w:rPr>
                <w:sz w:val="20"/>
              </w:rPr>
              <w:t>NIST IR 7696</w:t>
            </w:r>
            <w:r w:rsidRPr="005D18E1">
              <w:rPr>
                <w:sz w:val="20"/>
              </w:rPr>
              <w:br/>
            </w:r>
          </w:p>
        </w:tc>
        <w:tc>
          <w:tcPr>
            <w:tcW w:w="2520" w:type="dxa"/>
          </w:tcPr>
          <w:p w:rsidR="004E4540" w:rsidRPr="005D18E1" w:rsidRDefault="004E4540" w:rsidP="00C16BBB">
            <w:pPr>
              <w:rPr>
                <w:sz w:val="20"/>
              </w:rPr>
            </w:pPr>
            <w:r w:rsidRPr="005D18E1">
              <w:rPr>
                <w:sz w:val="20"/>
              </w:rPr>
              <w:t>Common Platform Enumeration : Name Matching Specification Version 2.3</w:t>
            </w:r>
          </w:p>
        </w:tc>
        <w:tc>
          <w:tcPr>
            <w:tcW w:w="4568" w:type="dxa"/>
          </w:tcPr>
          <w:p w:rsidR="004E4540" w:rsidRPr="005D18E1" w:rsidRDefault="005F673D" w:rsidP="00C16BBB">
            <w:pPr>
              <w:rPr>
                <w:sz w:val="20"/>
              </w:rPr>
            </w:pPr>
            <w:hyperlink r:id="rId14" w:history="1">
              <w:r w:rsidR="004E4540" w:rsidRPr="005D18E1">
                <w:rPr>
                  <w:rStyle w:val="Hyperlink"/>
                  <w:sz w:val="20"/>
                </w:rPr>
                <w:t>http://csrc.nist.gov/publications/nistir/ir7696/NISTIR-7696-CPE-Matching.pdf</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4E4540">
            <w:pPr>
              <w:rPr>
                <w:sz w:val="20"/>
              </w:rPr>
            </w:pPr>
            <w:r w:rsidRPr="005D18E1">
              <w:rPr>
                <w:sz w:val="20"/>
              </w:rPr>
              <w:t>NIST IR 7697</w:t>
            </w:r>
            <w:r w:rsidRPr="005D18E1">
              <w:rPr>
                <w:sz w:val="20"/>
              </w:rPr>
              <w:br/>
            </w:r>
          </w:p>
        </w:tc>
        <w:tc>
          <w:tcPr>
            <w:tcW w:w="2520" w:type="dxa"/>
          </w:tcPr>
          <w:p w:rsidR="004E4540" w:rsidRPr="005D18E1" w:rsidRDefault="004E4540" w:rsidP="00C16BBB">
            <w:pPr>
              <w:rPr>
                <w:sz w:val="20"/>
              </w:rPr>
            </w:pPr>
            <w:r w:rsidRPr="005D18E1">
              <w:rPr>
                <w:sz w:val="20"/>
              </w:rPr>
              <w:t>Common Platform Enumeration: Dictionary Specification Version 2.3</w:t>
            </w:r>
          </w:p>
        </w:tc>
        <w:tc>
          <w:tcPr>
            <w:tcW w:w="4568" w:type="dxa"/>
          </w:tcPr>
          <w:p w:rsidR="004E4540" w:rsidRPr="005D18E1" w:rsidRDefault="005F673D" w:rsidP="00C16BBB">
            <w:pPr>
              <w:rPr>
                <w:sz w:val="20"/>
              </w:rPr>
            </w:pPr>
            <w:hyperlink r:id="rId15" w:history="1">
              <w:r w:rsidR="004E4540" w:rsidRPr="005D18E1">
                <w:rPr>
                  <w:rStyle w:val="Hyperlink"/>
                  <w:sz w:val="20"/>
                </w:rPr>
                <w:t>http://csrc.nist.gov/publications/nistir/ir7697/NISTIR-7697-CPE-Dictionary.pdf</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4E4540">
            <w:pPr>
              <w:rPr>
                <w:sz w:val="20"/>
              </w:rPr>
            </w:pPr>
            <w:r w:rsidRPr="005D18E1">
              <w:rPr>
                <w:sz w:val="20"/>
              </w:rPr>
              <w:t>NIST IR 7698</w:t>
            </w:r>
            <w:r w:rsidRPr="005D18E1">
              <w:rPr>
                <w:sz w:val="20"/>
              </w:rPr>
              <w:br/>
            </w:r>
          </w:p>
        </w:tc>
        <w:tc>
          <w:tcPr>
            <w:tcW w:w="2520" w:type="dxa"/>
          </w:tcPr>
          <w:p w:rsidR="004E4540" w:rsidRPr="005D18E1" w:rsidRDefault="004E4540" w:rsidP="00C16BBB">
            <w:pPr>
              <w:rPr>
                <w:sz w:val="20"/>
              </w:rPr>
            </w:pPr>
            <w:r w:rsidRPr="005D18E1">
              <w:rPr>
                <w:sz w:val="20"/>
              </w:rPr>
              <w:t>Common Platform Enumeration: Applicability Language Specification Version 2.3</w:t>
            </w:r>
          </w:p>
        </w:tc>
        <w:tc>
          <w:tcPr>
            <w:tcW w:w="4568" w:type="dxa"/>
          </w:tcPr>
          <w:p w:rsidR="004E4540" w:rsidRPr="005D18E1" w:rsidRDefault="005F673D" w:rsidP="00C16BBB">
            <w:pPr>
              <w:rPr>
                <w:sz w:val="20"/>
              </w:rPr>
            </w:pPr>
            <w:hyperlink r:id="rId16" w:history="1">
              <w:r w:rsidR="004E4540" w:rsidRPr="005D18E1">
                <w:rPr>
                  <w:rStyle w:val="Hyperlink"/>
                  <w:sz w:val="20"/>
                </w:rPr>
                <w:t>http://csrc.nist.gov/publications/nistir/ir7698/NISTIR-7698-CPE-Language.pdf</w:t>
              </w:r>
            </w:hyperlink>
          </w:p>
        </w:tc>
        <w:tc>
          <w:tcPr>
            <w:tcW w:w="850" w:type="dxa"/>
          </w:tcPr>
          <w:p w:rsidR="004E4540" w:rsidRPr="005D18E1" w:rsidRDefault="004E4540" w:rsidP="00C16BBB">
            <w:pPr>
              <w:rPr>
                <w:sz w:val="20"/>
              </w:rPr>
            </w:pPr>
          </w:p>
        </w:tc>
      </w:tr>
      <w:tr w:rsidR="004E4540" w:rsidTr="005D18E1">
        <w:tc>
          <w:tcPr>
            <w:tcW w:w="1638" w:type="dxa"/>
          </w:tcPr>
          <w:p w:rsidR="004E4540" w:rsidRPr="005D18E1" w:rsidRDefault="004E4540" w:rsidP="00C16BBB">
            <w:pPr>
              <w:rPr>
                <w:sz w:val="20"/>
              </w:rPr>
            </w:pPr>
            <w:r w:rsidRPr="005D18E1">
              <w:rPr>
                <w:sz w:val="20"/>
              </w:rPr>
              <w:t>IETF RFC 2578</w:t>
            </w:r>
          </w:p>
        </w:tc>
        <w:tc>
          <w:tcPr>
            <w:tcW w:w="2520" w:type="dxa"/>
          </w:tcPr>
          <w:p w:rsidR="004E4540" w:rsidRPr="005D18E1" w:rsidRDefault="004E4540" w:rsidP="00C16BBB">
            <w:pPr>
              <w:rPr>
                <w:sz w:val="20"/>
              </w:rPr>
            </w:pPr>
            <w:r w:rsidRPr="005D18E1">
              <w:rPr>
                <w:sz w:val="20"/>
              </w:rPr>
              <w:t>Structure of Management Information Version 2 (SMIv2)</w:t>
            </w:r>
          </w:p>
        </w:tc>
        <w:tc>
          <w:tcPr>
            <w:tcW w:w="4568" w:type="dxa"/>
          </w:tcPr>
          <w:p w:rsidR="004E4540" w:rsidRPr="005D18E1" w:rsidRDefault="005F673D" w:rsidP="00C16BBB">
            <w:pPr>
              <w:rPr>
                <w:sz w:val="20"/>
              </w:rPr>
            </w:pPr>
            <w:hyperlink r:id="rId17" w:history="1">
              <w:r w:rsidR="004E4540" w:rsidRPr="005D18E1">
                <w:rPr>
                  <w:rStyle w:val="Hyperlink"/>
                  <w:sz w:val="20"/>
                </w:rPr>
                <w:t>http://tools.ietf.org/html/rfc2578</w:t>
              </w:r>
            </w:hyperlink>
          </w:p>
        </w:tc>
        <w:tc>
          <w:tcPr>
            <w:tcW w:w="850" w:type="dxa"/>
          </w:tcPr>
          <w:p w:rsidR="004E4540" w:rsidRPr="005D18E1" w:rsidRDefault="004E4540" w:rsidP="00C16BBB">
            <w:pPr>
              <w:rPr>
                <w:sz w:val="20"/>
              </w:rPr>
            </w:pPr>
          </w:p>
        </w:tc>
      </w:tr>
      <w:tr w:rsidR="0022490C" w:rsidTr="005D18E1">
        <w:tc>
          <w:tcPr>
            <w:tcW w:w="1638" w:type="dxa"/>
          </w:tcPr>
          <w:p w:rsidR="0022490C" w:rsidRPr="005D18E1" w:rsidRDefault="0022490C" w:rsidP="00C16BBB">
            <w:pPr>
              <w:rPr>
                <w:sz w:val="20"/>
              </w:rPr>
            </w:pPr>
            <w:r w:rsidRPr="005D18E1">
              <w:rPr>
                <w:sz w:val="20"/>
              </w:rPr>
              <w:t>ITU-T X.672</w:t>
            </w:r>
          </w:p>
        </w:tc>
        <w:tc>
          <w:tcPr>
            <w:tcW w:w="2520" w:type="dxa"/>
          </w:tcPr>
          <w:p w:rsidR="0022490C" w:rsidRPr="005D18E1" w:rsidRDefault="0022490C" w:rsidP="0022490C">
            <w:pPr>
              <w:rPr>
                <w:sz w:val="20"/>
              </w:rPr>
            </w:pPr>
            <w:r w:rsidRPr="005D18E1">
              <w:rPr>
                <w:sz w:val="20"/>
              </w:rPr>
              <w:t>Object identifier resolution system</w:t>
            </w:r>
          </w:p>
        </w:tc>
        <w:tc>
          <w:tcPr>
            <w:tcW w:w="4568" w:type="dxa"/>
          </w:tcPr>
          <w:p w:rsidR="0022490C" w:rsidRPr="005D18E1" w:rsidRDefault="00E51918" w:rsidP="00C16BBB">
            <w:pPr>
              <w:rPr>
                <w:sz w:val="20"/>
              </w:rPr>
            </w:pPr>
            <w:hyperlink r:id="rId18" w:history="1">
              <w:r>
                <w:rPr>
                  <w:rStyle w:val="Hyperlink"/>
                </w:rPr>
                <w:t>http://www.itu.int/rec/T-REC-X.672-201008-I</w:t>
              </w:r>
            </w:hyperlink>
          </w:p>
        </w:tc>
        <w:tc>
          <w:tcPr>
            <w:tcW w:w="850" w:type="dxa"/>
          </w:tcPr>
          <w:p w:rsidR="0022490C" w:rsidRPr="005D18E1" w:rsidRDefault="0022490C" w:rsidP="00C16BBB">
            <w:pPr>
              <w:rPr>
                <w:sz w:val="20"/>
              </w:rPr>
            </w:pPr>
          </w:p>
        </w:tc>
      </w:tr>
      <w:tr w:rsidR="005D18E1" w:rsidTr="005D18E1">
        <w:tc>
          <w:tcPr>
            <w:tcW w:w="1638" w:type="dxa"/>
          </w:tcPr>
          <w:p w:rsidR="005D18E1" w:rsidRPr="005D18E1" w:rsidRDefault="005D18E1" w:rsidP="00C16BBB">
            <w:pPr>
              <w:rPr>
                <w:sz w:val="20"/>
              </w:rPr>
            </w:pPr>
            <w:r w:rsidRPr="005D18E1">
              <w:rPr>
                <w:sz w:val="20"/>
              </w:rPr>
              <w:t>ITU-T X.660</w:t>
            </w:r>
          </w:p>
        </w:tc>
        <w:tc>
          <w:tcPr>
            <w:tcW w:w="2520" w:type="dxa"/>
          </w:tcPr>
          <w:p w:rsidR="005D18E1" w:rsidRPr="005D18E1" w:rsidRDefault="005D18E1" w:rsidP="005D18E1">
            <w:pPr>
              <w:rPr>
                <w:sz w:val="20"/>
              </w:rPr>
            </w:pPr>
            <w:r w:rsidRPr="005D18E1">
              <w:rPr>
                <w:sz w:val="20"/>
              </w:rPr>
              <w:t>Procedures for the</w:t>
            </w:r>
          </w:p>
          <w:p w:rsidR="005D18E1" w:rsidRPr="005D18E1" w:rsidRDefault="005D18E1" w:rsidP="005D18E1">
            <w:pPr>
              <w:rPr>
                <w:sz w:val="20"/>
              </w:rPr>
            </w:pPr>
            <w:r w:rsidRPr="005D18E1">
              <w:rPr>
                <w:sz w:val="20"/>
              </w:rPr>
              <w:t>operation of object identifier registration</w:t>
            </w:r>
          </w:p>
          <w:p w:rsidR="005D18E1" w:rsidRPr="005D18E1" w:rsidRDefault="005D18E1" w:rsidP="005D18E1">
            <w:pPr>
              <w:rPr>
                <w:sz w:val="20"/>
              </w:rPr>
            </w:pPr>
            <w:r w:rsidRPr="005D18E1">
              <w:rPr>
                <w:sz w:val="20"/>
              </w:rPr>
              <w:t>authorities: General procedures and top arcs of</w:t>
            </w:r>
          </w:p>
          <w:p w:rsidR="005D18E1" w:rsidRPr="005D18E1" w:rsidRDefault="005D18E1" w:rsidP="005D18E1">
            <w:pPr>
              <w:rPr>
                <w:sz w:val="20"/>
              </w:rPr>
            </w:pPr>
            <w:r w:rsidRPr="005D18E1">
              <w:rPr>
                <w:sz w:val="20"/>
              </w:rPr>
              <w:t>the international object identifier tree</w:t>
            </w:r>
          </w:p>
        </w:tc>
        <w:tc>
          <w:tcPr>
            <w:tcW w:w="4568" w:type="dxa"/>
          </w:tcPr>
          <w:p w:rsidR="005D18E1" w:rsidRPr="005D18E1" w:rsidRDefault="00E51918" w:rsidP="00C16BBB">
            <w:pPr>
              <w:rPr>
                <w:sz w:val="20"/>
              </w:rPr>
            </w:pPr>
            <w:hyperlink r:id="rId19" w:history="1">
              <w:r>
                <w:rPr>
                  <w:rStyle w:val="Hyperlink"/>
                </w:rPr>
                <w:t>http://www.itu.int/rec/T-REC-X.660-199209-S/en</w:t>
              </w:r>
            </w:hyperlink>
          </w:p>
        </w:tc>
        <w:tc>
          <w:tcPr>
            <w:tcW w:w="850" w:type="dxa"/>
          </w:tcPr>
          <w:p w:rsidR="005D18E1" w:rsidRPr="005D18E1" w:rsidRDefault="005D18E1" w:rsidP="00C16BBB">
            <w:pPr>
              <w:rPr>
                <w:sz w:val="20"/>
              </w:rPr>
            </w:pPr>
          </w:p>
        </w:tc>
      </w:tr>
      <w:tr w:rsidR="006142C6" w:rsidTr="005D18E1">
        <w:tc>
          <w:tcPr>
            <w:tcW w:w="1638" w:type="dxa"/>
          </w:tcPr>
          <w:p w:rsidR="006142C6" w:rsidRPr="005D18E1" w:rsidRDefault="006142C6" w:rsidP="00C16BBB">
            <w:pPr>
              <w:rPr>
                <w:sz w:val="20"/>
              </w:rPr>
            </w:pPr>
            <w:r>
              <w:rPr>
                <w:sz w:val="20"/>
              </w:rPr>
              <w:t>ITU-T OID Flyer</w:t>
            </w:r>
          </w:p>
        </w:tc>
        <w:tc>
          <w:tcPr>
            <w:tcW w:w="2520" w:type="dxa"/>
          </w:tcPr>
          <w:p w:rsidR="006142C6" w:rsidRPr="005D18E1" w:rsidRDefault="006142C6" w:rsidP="005D18E1">
            <w:pPr>
              <w:rPr>
                <w:sz w:val="20"/>
              </w:rPr>
            </w:pPr>
            <w:r>
              <w:rPr>
                <w:sz w:val="20"/>
              </w:rPr>
              <w:t>“Object Identifiers and their Registration Authorities: Your Solution to Identification”</w:t>
            </w:r>
          </w:p>
        </w:tc>
        <w:tc>
          <w:tcPr>
            <w:tcW w:w="4568" w:type="dxa"/>
          </w:tcPr>
          <w:p w:rsidR="006142C6" w:rsidRPr="005D18E1" w:rsidRDefault="006142C6" w:rsidP="00C16BBB">
            <w:pPr>
              <w:rPr>
                <w:sz w:val="20"/>
              </w:rPr>
            </w:pPr>
            <w:hyperlink r:id="rId20" w:history="1">
              <w:r w:rsidRPr="006C3A94">
                <w:rPr>
                  <w:rStyle w:val="Hyperlink"/>
                  <w:sz w:val="20"/>
                </w:rPr>
                <w:t>http://www.itu.int/dms_pub/itu-t/oth/0B/04/T0B040000482C01PDFE.pdf</w:t>
              </w:r>
            </w:hyperlink>
          </w:p>
        </w:tc>
        <w:tc>
          <w:tcPr>
            <w:tcW w:w="850" w:type="dxa"/>
          </w:tcPr>
          <w:p w:rsidR="006142C6" w:rsidRPr="005D18E1" w:rsidRDefault="006142C6" w:rsidP="00C16BBB">
            <w:pPr>
              <w:rPr>
                <w:sz w:val="20"/>
              </w:rPr>
            </w:pPr>
          </w:p>
        </w:tc>
      </w:tr>
      <w:tr w:rsidR="00B62145" w:rsidTr="005D18E1">
        <w:tc>
          <w:tcPr>
            <w:tcW w:w="1638" w:type="dxa"/>
          </w:tcPr>
          <w:p w:rsidR="00B62145" w:rsidRDefault="00B62145" w:rsidP="00C16BBB">
            <w:pPr>
              <w:rPr>
                <w:sz w:val="20"/>
              </w:rPr>
            </w:pPr>
            <w:r>
              <w:rPr>
                <w:sz w:val="20"/>
              </w:rPr>
              <w:t>ISO 26324:2012</w:t>
            </w:r>
          </w:p>
        </w:tc>
        <w:tc>
          <w:tcPr>
            <w:tcW w:w="2520" w:type="dxa"/>
          </w:tcPr>
          <w:p w:rsidR="00B62145" w:rsidRDefault="00B62145" w:rsidP="005D18E1">
            <w:pPr>
              <w:rPr>
                <w:sz w:val="20"/>
              </w:rPr>
            </w:pPr>
            <w:r>
              <w:rPr>
                <w:sz w:val="20"/>
              </w:rPr>
              <w:t xml:space="preserve">Digital object identifier </w:t>
            </w:r>
            <w:r>
              <w:rPr>
                <w:sz w:val="20"/>
              </w:rPr>
              <w:lastRenderedPageBreak/>
              <w:t>system</w:t>
            </w:r>
          </w:p>
        </w:tc>
        <w:tc>
          <w:tcPr>
            <w:tcW w:w="4568" w:type="dxa"/>
          </w:tcPr>
          <w:p w:rsidR="00B62145" w:rsidRDefault="00B62145" w:rsidP="00C16BBB">
            <w:pPr>
              <w:rPr>
                <w:sz w:val="20"/>
              </w:rPr>
            </w:pPr>
            <w:hyperlink r:id="rId21" w:history="1">
              <w:r>
                <w:rPr>
                  <w:rStyle w:val="Hyperlink"/>
                </w:rPr>
                <w:t>http://www.iso.org/iso/catalogue_detail?csnum</w:t>
              </w:r>
              <w:r>
                <w:rPr>
                  <w:rStyle w:val="Hyperlink"/>
                </w:rPr>
                <w:lastRenderedPageBreak/>
                <w:t>ber=43506</w:t>
              </w:r>
            </w:hyperlink>
          </w:p>
        </w:tc>
        <w:tc>
          <w:tcPr>
            <w:tcW w:w="850" w:type="dxa"/>
          </w:tcPr>
          <w:p w:rsidR="00B62145" w:rsidRPr="005D18E1" w:rsidRDefault="00B62145" w:rsidP="00C16BBB">
            <w:pPr>
              <w:rPr>
                <w:sz w:val="20"/>
              </w:rPr>
            </w:pPr>
          </w:p>
        </w:tc>
      </w:tr>
    </w:tbl>
    <w:p w:rsidR="005D18E1" w:rsidRPr="004E4540" w:rsidRDefault="005D18E1" w:rsidP="00C16BBB"/>
    <w:sectPr w:rsidR="005D18E1" w:rsidRPr="004E45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3D" w:rsidRDefault="005F673D" w:rsidP="0085007C">
      <w:pPr>
        <w:spacing w:after="0" w:line="240" w:lineRule="auto"/>
      </w:pPr>
      <w:r>
        <w:separator/>
      </w:r>
    </w:p>
  </w:endnote>
  <w:endnote w:type="continuationSeparator" w:id="0">
    <w:p w:rsidR="005F673D" w:rsidRDefault="005F673D" w:rsidP="0085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3D" w:rsidRDefault="005F673D" w:rsidP="0085007C">
      <w:pPr>
        <w:spacing w:after="0" w:line="240" w:lineRule="auto"/>
      </w:pPr>
      <w:r>
        <w:separator/>
      </w:r>
    </w:p>
  </w:footnote>
  <w:footnote w:type="continuationSeparator" w:id="0">
    <w:p w:rsidR="005F673D" w:rsidRDefault="005F673D" w:rsidP="00850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0C2"/>
    <w:multiLevelType w:val="hybridMultilevel"/>
    <w:tmpl w:val="F4F0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A5A18"/>
    <w:multiLevelType w:val="hybridMultilevel"/>
    <w:tmpl w:val="38B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30A2B"/>
    <w:multiLevelType w:val="hybridMultilevel"/>
    <w:tmpl w:val="6D06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1549DA"/>
    <w:multiLevelType w:val="hybridMultilevel"/>
    <w:tmpl w:val="CF84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E6"/>
    <w:rsid w:val="000E1120"/>
    <w:rsid w:val="0022490C"/>
    <w:rsid w:val="002B5CBE"/>
    <w:rsid w:val="002B5FDA"/>
    <w:rsid w:val="002C63F1"/>
    <w:rsid w:val="004A65A2"/>
    <w:rsid w:val="004E4540"/>
    <w:rsid w:val="00527737"/>
    <w:rsid w:val="005D18E1"/>
    <w:rsid w:val="005F673D"/>
    <w:rsid w:val="006142C6"/>
    <w:rsid w:val="00616094"/>
    <w:rsid w:val="00801949"/>
    <w:rsid w:val="0085007C"/>
    <w:rsid w:val="008D55EB"/>
    <w:rsid w:val="00A33118"/>
    <w:rsid w:val="00AB5BE6"/>
    <w:rsid w:val="00B22180"/>
    <w:rsid w:val="00B62145"/>
    <w:rsid w:val="00C16BBB"/>
    <w:rsid w:val="00C852FF"/>
    <w:rsid w:val="00E5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65A2"/>
    <w:rPr>
      <w:color w:val="0000FF" w:themeColor="hyperlink"/>
      <w:u w:val="single"/>
    </w:rPr>
  </w:style>
  <w:style w:type="paragraph" w:styleId="ListParagraph">
    <w:name w:val="List Paragraph"/>
    <w:basedOn w:val="Normal"/>
    <w:uiPriority w:val="34"/>
    <w:qFormat/>
    <w:rsid w:val="002C63F1"/>
    <w:pPr>
      <w:ind w:left="720"/>
      <w:contextualSpacing/>
    </w:pPr>
  </w:style>
  <w:style w:type="paragraph" w:styleId="FootnoteText">
    <w:name w:val="footnote text"/>
    <w:basedOn w:val="Normal"/>
    <w:link w:val="FootnoteTextChar"/>
    <w:uiPriority w:val="99"/>
    <w:semiHidden/>
    <w:unhideWhenUsed/>
    <w:rsid w:val="00850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07C"/>
    <w:rPr>
      <w:sz w:val="20"/>
      <w:szCs w:val="20"/>
    </w:rPr>
  </w:style>
  <w:style w:type="character" w:styleId="FootnoteReference">
    <w:name w:val="footnote reference"/>
    <w:basedOn w:val="DefaultParagraphFont"/>
    <w:uiPriority w:val="99"/>
    <w:semiHidden/>
    <w:unhideWhenUsed/>
    <w:rsid w:val="008500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65A2"/>
    <w:rPr>
      <w:color w:val="0000FF" w:themeColor="hyperlink"/>
      <w:u w:val="single"/>
    </w:rPr>
  </w:style>
  <w:style w:type="paragraph" w:styleId="ListParagraph">
    <w:name w:val="List Paragraph"/>
    <w:basedOn w:val="Normal"/>
    <w:uiPriority w:val="34"/>
    <w:qFormat/>
    <w:rsid w:val="002C63F1"/>
    <w:pPr>
      <w:ind w:left="720"/>
      <w:contextualSpacing/>
    </w:pPr>
  </w:style>
  <w:style w:type="paragraph" w:styleId="FootnoteText">
    <w:name w:val="footnote text"/>
    <w:basedOn w:val="Normal"/>
    <w:link w:val="FootnoteTextChar"/>
    <w:uiPriority w:val="99"/>
    <w:semiHidden/>
    <w:unhideWhenUsed/>
    <w:rsid w:val="00850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07C"/>
    <w:rPr>
      <w:sz w:val="20"/>
      <w:szCs w:val="20"/>
    </w:rPr>
  </w:style>
  <w:style w:type="character" w:styleId="FootnoteReference">
    <w:name w:val="footnote reference"/>
    <w:basedOn w:val="DefaultParagraphFont"/>
    <w:uiPriority w:val="99"/>
    <w:semiHidden/>
    <w:unhideWhenUsed/>
    <w:rsid w:val="00850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rc.nist.gov/publications/nistir/ir7695/NISTIR-7695-CPE-Naming.pdf" TargetMode="External"/><Relationship Id="rId18" Type="http://schemas.openxmlformats.org/officeDocument/2006/relationships/hyperlink" Target="http://www.itu.int/rec/T-REC-X.672-201008-I" TargetMode="External"/><Relationship Id="rId3" Type="http://schemas.openxmlformats.org/officeDocument/2006/relationships/styles" Target="styles.xml"/><Relationship Id="rId21" Type="http://schemas.openxmlformats.org/officeDocument/2006/relationships/hyperlink" Target="http://www.iso.org/iso/catalogue_detail?csnumber=43506" TargetMode="External"/><Relationship Id="rId7" Type="http://schemas.openxmlformats.org/officeDocument/2006/relationships/footnotes" Target="footnotes.xml"/><Relationship Id="rId12" Type="http://schemas.openxmlformats.org/officeDocument/2006/relationships/hyperlink" Target="http://csrc.nist.gov/publications/nistir/ir7693/NISTIR-7693.pdf" TargetMode="External"/><Relationship Id="rId17" Type="http://schemas.openxmlformats.org/officeDocument/2006/relationships/hyperlink" Target="http://tools.ietf.org/html/rfc2578" TargetMode="External"/><Relationship Id="rId2" Type="http://schemas.openxmlformats.org/officeDocument/2006/relationships/numbering" Target="numbering.xml"/><Relationship Id="rId16" Type="http://schemas.openxmlformats.org/officeDocument/2006/relationships/hyperlink" Target="http://csrc.nist.gov/publications/nistir/ir7698/NISTIR-7698-CPE-Language.pdf" TargetMode="External"/><Relationship Id="rId20" Type="http://schemas.openxmlformats.org/officeDocument/2006/relationships/hyperlink" Target="http://www.itu.int/dms_pub/itu-t/oth/0B/04/T0B040000482C01PDF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so.org/iso/19770/-2/2009/schema.xsd" TargetMode="External"/><Relationship Id="rId5" Type="http://schemas.openxmlformats.org/officeDocument/2006/relationships/settings" Target="settings.xml"/><Relationship Id="rId15" Type="http://schemas.openxmlformats.org/officeDocument/2006/relationships/hyperlink" Target="http://csrc.nist.gov/publications/nistir/ir7697/NISTIR-7697-CPE-Dictionary.pdf" TargetMode="External"/><Relationship Id="rId23" Type="http://schemas.openxmlformats.org/officeDocument/2006/relationships/theme" Target="theme/theme1.xml"/><Relationship Id="rId10" Type="http://schemas.openxmlformats.org/officeDocument/2006/relationships/hyperlink" Target="http://www.sassafras.com/iso/19770Syllabus.pdf" TargetMode="External"/><Relationship Id="rId19" Type="http://schemas.openxmlformats.org/officeDocument/2006/relationships/hyperlink" Target="http://www.itu.int/rec/T-REC-X.660-199209-S/en" TargetMode="External"/><Relationship Id="rId4" Type="http://schemas.microsoft.com/office/2007/relationships/stylesWithEffects" Target="stylesWithEffects.xml"/><Relationship Id="rId9" Type="http://schemas.openxmlformats.org/officeDocument/2006/relationships/hyperlink" Target="http://www.itu.int/oth/T0B04000048/en" TargetMode="External"/><Relationship Id="rId14" Type="http://schemas.openxmlformats.org/officeDocument/2006/relationships/hyperlink" Target="http://csrc.nist.gov/publications/nistir/ir7696/NISTIR-7696-CPE-Matching.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28D1-81F0-429F-89C1-11AB4E36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Shorter</dc:creator>
  <cp:lastModifiedBy>Scott Shorter</cp:lastModifiedBy>
  <cp:revision>3</cp:revision>
  <dcterms:created xsi:type="dcterms:W3CDTF">2013-12-17T14:04:00Z</dcterms:created>
  <dcterms:modified xsi:type="dcterms:W3CDTF">2013-12-17T14:27:00Z</dcterms:modified>
</cp:coreProperties>
</file>