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6922"/>
      </w:tblGrid>
      <w:tr w:rsidR="00A967AC" w:rsidRPr="00FE3210" w:rsidTr="00DE2F6D"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D9D9" w:themeFill="background1" w:themeFillShade="D9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967AC" w:rsidRPr="00FE3210" w:rsidRDefault="00A967AC" w:rsidP="00DE2F6D">
            <w:pPr>
              <w:spacing w:before="150"/>
              <w:jc w:val="center"/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</w:pPr>
            <w:bookmarkStart w:id="0" w:name="_GoBack"/>
            <w:bookmarkEnd w:id="0"/>
            <w:r w:rsidRPr="00FE3210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>Heading</w:t>
            </w:r>
          </w:p>
        </w:tc>
        <w:tc>
          <w:tcPr>
            <w:tcW w:w="69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D9D9" w:themeFill="background1" w:themeFillShade="D9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967AC" w:rsidRPr="00FE3210" w:rsidRDefault="00A967AC" w:rsidP="00DE2F6D">
            <w:pPr>
              <w:spacing w:before="150"/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</w:pPr>
            <w:r w:rsidRPr="00FE3210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>Description</w:t>
            </w:r>
          </w:p>
        </w:tc>
      </w:tr>
      <w:tr w:rsidR="00A967AC" w:rsidRPr="00FE3210" w:rsidTr="00DE2F6D"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967AC" w:rsidRPr="00A967AC" w:rsidRDefault="00A967AC" w:rsidP="00DE2F6D">
            <w:pPr>
              <w:spacing w:before="150"/>
              <w:rPr>
                <w:rFonts w:ascii="Arial" w:eastAsia="Times New Roman" w:hAnsi="Arial" w:cs="Arial"/>
                <w:color w:val="7030A0"/>
                <w:sz w:val="21"/>
                <w:szCs w:val="21"/>
              </w:rPr>
            </w:pPr>
            <w:r w:rsidRPr="00A967AC">
              <w:rPr>
                <w:rFonts w:ascii="Arial" w:eastAsia="Times New Roman" w:hAnsi="Arial" w:cs="Arial"/>
                <w:color w:val="7030A0"/>
                <w:sz w:val="21"/>
                <w:szCs w:val="21"/>
              </w:rPr>
              <w:t>Use Case Class</w:t>
            </w:r>
            <w:r w:rsidR="000C3AEA">
              <w:rPr>
                <w:rFonts w:ascii="Arial" w:eastAsia="Times New Roman" w:hAnsi="Arial" w:cs="Arial"/>
                <w:color w:val="7030A0"/>
                <w:sz w:val="21"/>
                <w:szCs w:val="21"/>
              </w:rPr>
              <w:t xml:space="preserve"> / Scope</w:t>
            </w:r>
          </w:p>
        </w:tc>
        <w:tc>
          <w:tcPr>
            <w:tcW w:w="69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967AC" w:rsidRPr="00A967AC" w:rsidRDefault="00A967AC" w:rsidP="0062440C">
            <w:pPr>
              <w:spacing w:before="150"/>
              <w:rPr>
                <w:b/>
                <w:color w:val="7030A0"/>
              </w:rPr>
            </w:pPr>
            <w:r w:rsidRPr="00A967AC">
              <w:rPr>
                <w:b/>
                <w:color w:val="7030A0"/>
              </w:rPr>
              <w:t xml:space="preserve">Identity </w:t>
            </w:r>
            <w:r w:rsidR="0062440C">
              <w:rPr>
                <w:b/>
                <w:color w:val="7030A0"/>
              </w:rPr>
              <w:t>Verification</w:t>
            </w:r>
          </w:p>
        </w:tc>
      </w:tr>
      <w:tr w:rsidR="00A967AC" w:rsidRPr="00FE3210" w:rsidTr="00DE2F6D"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967AC" w:rsidRPr="00A967AC" w:rsidRDefault="00A967AC" w:rsidP="00DE2F6D">
            <w:pPr>
              <w:spacing w:before="150"/>
              <w:rPr>
                <w:rFonts w:ascii="Arial" w:eastAsia="Times New Roman" w:hAnsi="Arial" w:cs="Arial"/>
                <w:color w:val="0070C0"/>
                <w:sz w:val="21"/>
                <w:szCs w:val="21"/>
              </w:rPr>
            </w:pPr>
            <w:r w:rsidRPr="00A967AC">
              <w:rPr>
                <w:rFonts w:ascii="Arial" w:eastAsia="Times New Roman" w:hAnsi="Arial" w:cs="Arial"/>
                <w:color w:val="0070C0"/>
                <w:sz w:val="21"/>
                <w:szCs w:val="21"/>
              </w:rPr>
              <w:t>Use Case Name</w:t>
            </w:r>
          </w:p>
        </w:tc>
        <w:tc>
          <w:tcPr>
            <w:tcW w:w="69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967AC" w:rsidRPr="00A967AC" w:rsidRDefault="0062440C" w:rsidP="0062440C">
            <w:pPr>
              <w:spacing w:before="150"/>
              <w:rPr>
                <w:rFonts w:ascii="Arial" w:eastAsia="Times New Roman" w:hAnsi="Arial" w:cs="Arial"/>
                <w:b/>
                <w:color w:val="0070C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1"/>
                <w:szCs w:val="21"/>
              </w:rPr>
              <w:t>Identity Verification Scoring based on Factors of Authentication</w:t>
            </w:r>
          </w:p>
        </w:tc>
      </w:tr>
      <w:tr w:rsidR="00A967AC" w:rsidRPr="00FE3210" w:rsidTr="00DE2F6D"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967AC" w:rsidRPr="00FE3210" w:rsidRDefault="00A967AC" w:rsidP="00DE2F6D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FE321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Context</w:t>
            </w:r>
            <w:r w:rsidR="00EE7FD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/ Scope</w:t>
            </w:r>
          </w:p>
        </w:tc>
        <w:tc>
          <w:tcPr>
            <w:tcW w:w="69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967AC" w:rsidRDefault="0062440C" w:rsidP="0062440C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The classic authentication factors – something they know, something they have, something they are (biometrics) – have been useful establishing standard levels of assurance for login events. This use case uses the same factors </w:t>
            </w:r>
            <w:r w:rsidR="004E0C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as “identity evidence classes”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to provide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an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robust approach to measuring the level of confidence in identity verification.</w:t>
            </w:r>
          </w:p>
          <w:p w:rsidR="00283F4D" w:rsidRDefault="00283F4D" w:rsidP="0062440C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:rsidR="00283F4D" w:rsidRPr="00FE3210" w:rsidRDefault="00283F4D" w:rsidP="004E0CBF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As the list of </w:t>
            </w:r>
            <w:r w:rsidR="004E0C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evidence classes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expands (e.g., someplace they are, some time they interacting, some way they behave) the scoring method can expand as well.</w:t>
            </w:r>
          </w:p>
        </w:tc>
      </w:tr>
      <w:tr w:rsidR="00A967AC" w:rsidRPr="00FE3210" w:rsidTr="00DE2F6D"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967AC" w:rsidRPr="00FE3210" w:rsidRDefault="00A967AC" w:rsidP="00DE2F6D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FE321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Stakeholders &amp; Interests</w:t>
            </w:r>
          </w:p>
        </w:tc>
        <w:tc>
          <w:tcPr>
            <w:tcW w:w="69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967AC" w:rsidRPr="004131EA" w:rsidRDefault="00A967AC" w:rsidP="00DE2F6D">
            <w:pPr>
              <w:pStyle w:val="ListParagraph"/>
              <w:numPr>
                <w:ilvl w:val="0"/>
                <w:numId w:val="3"/>
              </w:num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4131E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Individual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– completing a transaction or gaining access to a system</w:t>
            </w:r>
          </w:p>
          <w:p w:rsidR="00A967AC" w:rsidRDefault="0062440C" w:rsidP="002E31F5">
            <w:pPr>
              <w:pStyle w:val="ListParagraph"/>
              <w:numPr>
                <w:ilvl w:val="0"/>
                <w:numId w:val="3"/>
              </w:num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Identity Verification Service</w:t>
            </w:r>
            <w:r w:rsidR="002E31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(IVS) </w:t>
            </w:r>
            <w:r w:rsidR="00A967A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–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to </w:t>
            </w:r>
            <w:r w:rsidR="00A967A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provide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a </w:t>
            </w:r>
            <w:r w:rsidR="00A967A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service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that optimizes </w:t>
            </w:r>
            <w:r w:rsidR="002E31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security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, customer experience, and </w:t>
            </w:r>
            <w:r w:rsidR="002E31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cost based on the risk of the Relying Party</w:t>
            </w:r>
          </w:p>
          <w:p w:rsidR="002E31F5" w:rsidRPr="0062440C" w:rsidRDefault="002E31F5" w:rsidP="002E31F5">
            <w:pPr>
              <w:pStyle w:val="ListParagraph"/>
              <w:numPr>
                <w:ilvl w:val="0"/>
                <w:numId w:val="3"/>
              </w:num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Relying Party (RP) – An organization that is consuming IVS services in order to transact with the Individual</w:t>
            </w:r>
          </w:p>
        </w:tc>
      </w:tr>
      <w:tr w:rsidR="00A967AC" w:rsidRPr="00FE3210" w:rsidTr="00DE2F6D"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967AC" w:rsidRPr="00FE3210" w:rsidRDefault="00A967AC" w:rsidP="00DE2F6D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FE321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Triggers</w:t>
            </w:r>
          </w:p>
        </w:tc>
        <w:tc>
          <w:tcPr>
            <w:tcW w:w="69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967AC" w:rsidRPr="002E31F5" w:rsidRDefault="002E31F5" w:rsidP="002E31F5">
            <w:pPr>
              <w:pStyle w:val="ListParagraph"/>
              <w:numPr>
                <w:ilvl w:val="0"/>
                <w:numId w:val="2"/>
              </w:num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Relying Partly needs a certain level of confidence in the identity of the Individual, which is conveyed the IVS</w:t>
            </w:r>
          </w:p>
        </w:tc>
      </w:tr>
      <w:tr w:rsidR="00A967AC" w:rsidRPr="00FE3210" w:rsidTr="00DE2F6D"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967AC" w:rsidRPr="00FE3210" w:rsidRDefault="00A967AC" w:rsidP="00DE2F6D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FE321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Success Guarantees</w:t>
            </w:r>
          </w:p>
        </w:tc>
        <w:tc>
          <w:tcPr>
            <w:tcW w:w="69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967AC" w:rsidRPr="004131EA" w:rsidRDefault="002E31F5" w:rsidP="002E31F5">
            <w:pPr>
              <w:pStyle w:val="ListParagraph"/>
              <w:numPr>
                <w:ilvl w:val="0"/>
                <w:numId w:val="1"/>
              </w:num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An agreed-up, risk-based approach has been used to score the confidence that the user is who they claim to be</w:t>
            </w:r>
          </w:p>
        </w:tc>
      </w:tr>
      <w:tr w:rsidR="00A967AC" w:rsidRPr="00FE3210" w:rsidTr="00DE2F6D"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967AC" w:rsidRPr="00FE3210" w:rsidRDefault="00A967AC" w:rsidP="00DE2F6D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FE321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Primary Actor</w:t>
            </w:r>
          </w:p>
        </w:tc>
        <w:tc>
          <w:tcPr>
            <w:tcW w:w="69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967AC" w:rsidRPr="00FE3210" w:rsidRDefault="002E31F5" w:rsidP="00DE2F6D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IVS</w:t>
            </w:r>
          </w:p>
        </w:tc>
      </w:tr>
      <w:tr w:rsidR="00A967AC" w:rsidRPr="00FE3210" w:rsidTr="00DE2F6D"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967AC" w:rsidRPr="00FE3210" w:rsidRDefault="00A967AC" w:rsidP="00DE2F6D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FE321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Preconditions</w:t>
            </w:r>
          </w:p>
        </w:tc>
        <w:tc>
          <w:tcPr>
            <w:tcW w:w="69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54585" w:rsidRPr="00FE3210" w:rsidRDefault="002E31F5" w:rsidP="00DE2F6D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 standard rubric / scoring matrix has been developed, evaluated, and agreed upon between the RP and the IVS</w:t>
            </w:r>
          </w:p>
        </w:tc>
      </w:tr>
      <w:tr w:rsidR="00A967AC" w:rsidRPr="00FE3210" w:rsidTr="00DE2F6D"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967AC" w:rsidRPr="00FE3210" w:rsidRDefault="00A967AC" w:rsidP="00DE2F6D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FE321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Main Success Scenario</w:t>
            </w:r>
          </w:p>
        </w:tc>
        <w:tc>
          <w:tcPr>
            <w:tcW w:w="69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967AC" w:rsidRDefault="002E31F5" w:rsidP="00DE2F6D">
            <w:pPr>
              <w:pStyle w:val="ListParagraph"/>
              <w:numPr>
                <w:ilvl w:val="0"/>
                <w:numId w:val="4"/>
              </w:num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The RP directs the Individual to the IVS while indicating its risk level </w:t>
            </w:r>
          </w:p>
          <w:p w:rsidR="00A967AC" w:rsidRDefault="00283F4D" w:rsidP="00283F4D">
            <w:pPr>
              <w:pStyle w:val="ListParagraph"/>
              <w:numPr>
                <w:ilvl w:val="0"/>
                <w:numId w:val="4"/>
              </w:num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The IVS examines the options available for achieving a level of confidence &gt;= the corresponding RP risk level</w:t>
            </w:r>
          </w:p>
          <w:p w:rsidR="00283F4D" w:rsidRDefault="00283F4D" w:rsidP="00283F4D">
            <w:pPr>
              <w:pStyle w:val="ListParagraph"/>
              <w:numPr>
                <w:ilvl w:val="0"/>
                <w:numId w:val="4"/>
              </w:num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The IVS asks the user to choose from the various evidence types (i.e., KNOW, HAVE, ARE, etc.) to prepare the user and predetermine the workflow</w:t>
            </w:r>
          </w:p>
          <w:p w:rsidR="00283F4D" w:rsidRDefault="00283F4D" w:rsidP="0072142A">
            <w:pPr>
              <w:pStyle w:val="ListParagraph"/>
              <w:numPr>
                <w:ilvl w:val="0"/>
                <w:numId w:val="4"/>
              </w:num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The Individual selects </w:t>
            </w:r>
            <w:r w:rsidR="0072142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 permutation of evidence that meets the risk/confidence requirements</w:t>
            </w:r>
          </w:p>
          <w:p w:rsidR="0072142A" w:rsidRPr="00283F4D" w:rsidRDefault="0072142A" w:rsidP="0072142A">
            <w:pPr>
              <w:pStyle w:val="ListParagraph"/>
              <w:numPr>
                <w:ilvl w:val="0"/>
                <w:numId w:val="4"/>
              </w:num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The IVS collects the evidence from the Individual, evaluates it, and makes a decision</w:t>
            </w:r>
          </w:p>
        </w:tc>
      </w:tr>
      <w:tr w:rsidR="00A967AC" w:rsidRPr="00FE3210" w:rsidTr="00DE2F6D"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967AC" w:rsidRPr="00EE7FD4" w:rsidRDefault="004E0CBF" w:rsidP="004E0CB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  <w:highlight w:val="yellow"/>
              </w:rPr>
            </w:pPr>
            <w:r w:rsidRPr="004E0CBF">
              <w:rPr>
                <w:rFonts w:ascii="ArialMT" w:hAnsi="ArialMT" w:cs="ArialMT"/>
                <w:sz w:val="24"/>
                <w:szCs w:val="24"/>
              </w:rPr>
              <w:lastRenderedPageBreak/>
              <w:t xml:space="preserve">Identity Evidence 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Classes and Risk </w:t>
            </w:r>
          </w:p>
        </w:tc>
        <w:tc>
          <w:tcPr>
            <w:tcW w:w="69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72142A" w:rsidRPr="0072142A" w:rsidRDefault="0072142A" w:rsidP="0072142A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Different levels of confidence can require different numbers of </w:t>
            </w:r>
            <w:r w:rsidR="004E0CBF" w:rsidRPr="004E0CBF">
              <w:rPr>
                <w:rFonts w:ascii="Arial" w:eastAsia="Times New Roman" w:hAnsi="Arial" w:cs="Arial"/>
                <w:i/>
                <w:color w:val="333333"/>
                <w:sz w:val="21"/>
                <w:szCs w:val="21"/>
              </w:rPr>
              <w:t>identity evidence classes</w:t>
            </w:r>
            <w:r w:rsidR="004E0C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with different security scores from the following:</w:t>
            </w:r>
          </w:p>
          <w:p w:rsidR="0072142A" w:rsidRDefault="0072142A" w:rsidP="0072142A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2142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KNOW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– information that can be reasonably expected to be known only by the Individual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Security</w:t>
            </w:r>
            <w:r w:rsidR="0080574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Scoring Info Examples:</w:t>
            </w:r>
          </w:p>
          <w:p w:rsidR="00A967AC" w:rsidRDefault="0072142A" w:rsidP="0072142A">
            <w:pPr>
              <w:pStyle w:val="ListParagraph"/>
              <w:numPr>
                <w:ilvl w:val="1"/>
                <w:numId w:val="1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How widely exchanged is the information (every time they apply for credit)?</w:t>
            </w:r>
          </w:p>
          <w:p w:rsidR="0072142A" w:rsidRDefault="0072142A" w:rsidP="00805747">
            <w:pPr>
              <w:pStyle w:val="ListParagraph"/>
              <w:numPr>
                <w:ilvl w:val="1"/>
                <w:numId w:val="1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Is the information managed by a regulated industry (government, financial, utility)?</w:t>
            </w:r>
          </w:p>
          <w:p w:rsidR="00805747" w:rsidRDefault="00287513" w:rsidP="00805747">
            <w:pPr>
              <w:pStyle w:val="ListParagraph"/>
              <w:numPr>
                <w:ilvl w:val="1"/>
                <w:numId w:val="1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Does the Individual know a </w:t>
            </w:r>
            <w:r w:rsidR="0080574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phone number cor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responding to them according to the carrier?</w:t>
            </w:r>
          </w:p>
          <w:p w:rsidR="00805747" w:rsidRDefault="004E0CBF" w:rsidP="00805747">
            <w:pPr>
              <w:pStyle w:val="ListParagraph"/>
              <w:numPr>
                <w:ilvl w:val="1"/>
                <w:numId w:val="1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Does the individual know a</w:t>
            </w:r>
            <w:r w:rsidR="0080574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 email corresponding to the user in consumer records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?</w:t>
            </w:r>
          </w:p>
          <w:p w:rsidR="004E0CBF" w:rsidRPr="00805747" w:rsidRDefault="004E0CBF" w:rsidP="00805747">
            <w:pPr>
              <w:pStyle w:val="ListParagraph"/>
              <w:numPr>
                <w:ilvl w:val="1"/>
                <w:numId w:val="1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Can the individual identify recent transactions?</w:t>
            </w:r>
          </w:p>
          <w:p w:rsidR="00805747" w:rsidRPr="00805747" w:rsidRDefault="0072142A" w:rsidP="00805747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2142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HAVE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– An object that </w:t>
            </w:r>
            <w:r w:rsidR="0080574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is reasonably expected to be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in the</w:t>
            </w:r>
            <w:r w:rsidR="0080574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possession of the Individual</w:t>
            </w:r>
            <w:r w:rsidR="0080574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</w:r>
            <w:r w:rsidR="00805747" w:rsidRPr="0080574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Security Scoring Info Examples:</w:t>
            </w:r>
          </w:p>
          <w:p w:rsidR="004E0CBF" w:rsidRDefault="004E0CBF" w:rsidP="00805747">
            <w:pPr>
              <w:pStyle w:val="ListParagraph"/>
              <w:numPr>
                <w:ilvl w:val="1"/>
                <w:numId w:val="1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Does the individual have a cryptographic key that unlocks access to ledger items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associated with the individual?</w:t>
            </w:r>
          </w:p>
          <w:p w:rsidR="00805747" w:rsidRDefault="00805747" w:rsidP="00805747">
            <w:pPr>
              <w:pStyle w:val="ListParagraph"/>
              <w:numPr>
                <w:ilvl w:val="1"/>
                <w:numId w:val="1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Out-of-band </w:t>
            </w:r>
            <w:r w:rsidR="0028751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confirmation of possession of a phone that has been validated in combination with a KNOW factor</w:t>
            </w:r>
          </w:p>
          <w:p w:rsidR="00287513" w:rsidRDefault="00287513" w:rsidP="00805747">
            <w:pPr>
              <w:pStyle w:val="ListParagraph"/>
              <w:numPr>
                <w:ilvl w:val="1"/>
                <w:numId w:val="1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Out-of-band Email confirmation of access to an email account (possession of a digital object) that has been validated in combination with a KNOW factor</w:t>
            </w:r>
          </w:p>
          <w:p w:rsidR="004E0CBF" w:rsidRPr="004E0CBF" w:rsidRDefault="00287513" w:rsidP="004E0CBF">
            <w:pPr>
              <w:pStyle w:val="ListParagraph"/>
              <w:numPr>
                <w:ilvl w:val="1"/>
                <w:numId w:val="1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ID Document with/without security features from a State (high), University</w:t>
            </w:r>
            <w:r w:rsidR="004E0C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(low), etc.</w:t>
            </w:r>
          </w:p>
          <w:p w:rsidR="0072142A" w:rsidRDefault="0072142A" w:rsidP="0072142A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2142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ARE</w:t>
            </w:r>
            <w:r w:rsidR="0028751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– A physiological characteristic of the Individual that can reasonably expected to be demonstrated by only that Individual</w:t>
            </w:r>
          </w:p>
          <w:p w:rsidR="00287513" w:rsidRDefault="00287513" w:rsidP="00287513">
            <w:pPr>
              <w:pStyle w:val="ListParagraph"/>
              <w:numPr>
                <w:ilvl w:val="1"/>
                <w:numId w:val="1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Fingerprint matched against records</w:t>
            </w:r>
          </w:p>
          <w:p w:rsidR="00287513" w:rsidRDefault="00287513" w:rsidP="00287513">
            <w:pPr>
              <w:pStyle w:val="ListParagraph"/>
              <w:numPr>
                <w:ilvl w:val="1"/>
                <w:numId w:val="1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Live portrait comparison with either something they HAVE or in authoritative records</w:t>
            </w:r>
          </w:p>
          <w:p w:rsidR="004E0CBF" w:rsidRPr="00091D67" w:rsidRDefault="004E0CBF" w:rsidP="00091D67">
            <w:pPr>
              <w:pStyle w:val="ListParagraph"/>
              <w:numPr>
                <w:ilvl w:val="1"/>
                <w:numId w:val="1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Behavioral biometrics, such as gait, click speed, cross-site transaction velocity, etc. </w:t>
            </w:r>
            <w:r w:rsidRPr="00091D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</w:tc>
      </w:tr>
    </w:tbl>
    <w:p w:rsidR="00143479" w:rsidRPr="00A967AC" w:rsidRDefault="00143479" w:rsidP="00A967AC"/>
    <w:sectPr w:rsidR="00143479" w:rsidRPr="00A96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72BC4"/>
    <w:multiLevelType w:val="hybridMultilevel"/>
    <w:tmpl w:val="9F10B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F123BB"/>
    <w:multiLevelType w:val="hybridMultilevel"/>
    <w:tmpl w:val="D9E6D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432E12"/>
    <w:multiLevelType w:val="hybridMultilevel"/>
    <w:tmpl w:val="599417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872002"/>
    <w:multiLevelType w:val="hybridMultilevel"/>
    <w:tmpl w:val="E548903C"/>
    <w:lvl w:ilvl="0" w:tplc="2B1404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74415"/>
    <w:multiLevelType w:val="hybridMultilevel"/>
    <w:tmpl w:val="5642A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B4372"/>
    <w:multiLevelType w:val="hybridMultilevel"/>
    <w:tmpl w:val="5448E5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10"/>
    <w:rsid w:val="00054585"/>
    <w:rsid w:val="000912AD"/>
    <w:rsid w:val="00091D67"/>
    <w:rsid w:val="000C3AEA"/>
    <w:rsid w:val="00143479"/>
    <w:rsid w:val="00283F4D"/>
    <w:rsid w:val="00287513"/>
    <w:rsid w:val="002E31F5"/>
    <w:rsid w:val="003E0EFC"/>
    <w:rsid w:val="004131EA"/>
    <w:rsid w:val="004308EA"/>
    <w:rsid w:val="00494874"/>
    <w:rsid w:val="004E0CBF"/>
    <w:rsid w:val="005D4C08"/>
    <w:rsid w:val="0062440C"/>
    <w:rsid w:val="006375CB"/>
    <w:rsid w:val="00647303"/>
    <w:rsid w:val="00665B2C"/>
    <w:rsid w:val="006E4F30"/>
    <w:rsid w:val="0072142A"/>
    <w:rsid w:val="00805747"/>
    <w:rsid w:val="00844489"/>
    <w:rsid w:val="009A09FD"/>
    <w:rsid w:val="00A967AC"/>
    <w:rsid w:val="00AB4BA6"/>
    <w:rsid w:val="00E26BE0"/>
    <w:rsid w:val="00E728D1"/>
    <w:rsid w:val="00EE7FD4"/>
    <w:rsid w:val="00F65BAA"/>
    <w:rsid w:val="00FB7422"/>
    <w:rsid w:val="00FE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8F0AD-A168-42E6-B876-92EE0E7F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3210"/>
    <w:pPr>
      <w:spacing w:before="15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3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09772">
                      <w:marLeft w:val="4275"/>
                      <w:marRight w:val="0"/>
                      <w:marTop w:val="6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12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347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15572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Postal Service</Company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Mcbride, Terence W - Washington, DC - Contractor</dc:creator>
  <cp:keywords/>
  <dc:description/>
  <cp:lastModifiedBy>Mcbride, Terence W - Washington, DC - Contractor</cp:lastModifiedBy>
  <cp:revision>7</cp:revision>
  <dcterms:created xsi:type="dcterms:W3CDTF">2019-01-28T18:43:00Z</dcterms:created>
  <dcterms:modified xsi:type="dcterms:W3CDTF">2019-02-27T15:09:00Z</dcterms:modified>
</cp:coreProperties>
</file>