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A3390" w14:textId="77777777" w:rsidR="00574B8F" w:rsidRDefault="00574B8F" w:rsidP="00574B8F">
      <w:pPr>
        <w:pStyle w:val="Title"/>
        <w:jc w:val="center"/>
      </w:pPr>
      <w:bookmarkStart w:id="0" w:name="_ckghafsopdin" w:colFirst="0" w:colLast="0"/>
      <w:bookmarkEnd w:id="0"/>
    </w:p>
    <w:p w14:paraId="16F3BD77" w14:textId="77777777" w:rsidR="00574B8F" w:rsidRDefault="00574B8F" w:rsidP="00574B8F">
      <w:pPr>
        <w:pStyle w:val="Title"/>
        <w:jc w:val="center"/>
      </w:pPr>
    </w:p>
    <w:p w14:paraId="7AF86029" w14:textId="77777777" w:rsidR="00574B8F" w:rsidRDefault="00574B8F" w:rsidP="00574B8F">
      <w:pPr>
        <w:pStyle w:val="Title"/>
        <w:jc w:val="center"/>
      </w:pPr>
    </w:p>
    <w:p w14:paraId="59287791" w14:textId="77777777" w:rsidR="00574B8F" w:rsidRDefault="00574B8F" w:rsidP="00996BC6">
      <w:pPr>
        <w:pStyle w:val="Title"/>
      </w:pPr>
    </w:p>
    <w:p w14:paraId="1099BA20" w14:textId="39DC72AF" w:rsidR="000A6003" w:rsidRPr="00996BC6" w:rsidRDefault="009D0F65" w:rsidP="00574B8F">
      <w:pPr>
        <w:pStyle w:val="Title"/>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6B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Government-Issued Digital Credentials and the Privacy Landscape</w:t>
      </w:r>
    </w:p>
    <w:p w14:paraId="37DCFF94" w14:textId="77777777" w:rsidR="00996BC6" w:rsidRDefault="00996BC6" w:rsidP="00996BC6"/>
    <w:p w14:paraId="4CA535BB" w14:textId="77777777" w:rsidR="00996BC6" w:rsidRDefault="00996BC6" w:rsidP="00996BC6"/>
    <w:p w14:paraId="1129DD96" w14:textId="77777777" w:rsidR="00996BC6" w:rsidRDefault="00996BC6" w:rsidP="00996BC6"/>
    <w:p w14:paraId="5072606A" w14:textId="56628ADE" w:rsidR="00996BC6" w:rsidRDefault="00996BC6" w:rsidP="00996BC6">
      <w:pPr>
        <w:jc w:val="center"/>
      </w:pPr>
      <w:r>
        <w:t>Lead Editor: Heather Flanagan</w:t>
      </w:r>
    </w:p>
    <w:p w14:paraId="4D4055D6" w14:textId="1E591802" w:rsidR="00996BC6" w:rsidRPr="00996BC6" w:rsidRDefault="00E63A45" w:rsidP="00996BC6">
      <w:pPr>
        <w:jc w:val="center"/>
      </w:pPr>
      <w:r>
        <w:t xml:space="preserve">4 </w:t>
      </w:r>
      <w:r w:rsidR="00996BC6">
        <w:t>May 2023</w:t>
      </w:r>
    </w:p>
    <w:p w14:paraId="4BBACA10" w14:textId="77777777" w:rsidR="00574B8F" w:rsidRDefault="00574B8F" w:rsidP="00996BC6"/>
    <w:p w14:paraId="463EB08E" w14:textId="77777777" w:rsidR="00574B8F" w:rsidRDefault="00574B8F" w:rsidP="00574B8F">
      <w:pPr>
        <w:jc w:val="right"/>
      </w:pPr>
    </w:p>
    <w:p w14:paraId="46A5735D" w14:textId="77777777" w:rsidR="00574B8F" w:rsidRDefault="00574B8F" w:rsidP="00574B8F">
      <w:pPr>
        <w:jc w:val="right"/>
      </w:pPr>
    </w:p>
    <w:p w14:paraId="59E2CC05" w14:textId="77777777" w:rsidR="00574B8F" w:rsidRDefault="00574B8F" w:rsidP="00574B8F">
      <w:pPr>
        <w:jc w:val="right"/>
      </w:pPr>
    </w:p>
    <w:p w14:paraId="17C9A23B" w14:textId="77777777" w:rsidR="00996BC6" w:rsidRDefault="00996BC6" w:rsidP="00996BC6"/>
    <w:p w14:paraId="12E4F469" w14:textId="77777777" w:rsidR="00996BC6" w:rsidRDefault="00996BC6" w:rsidP="00996BC6"/>
    <w:p w14:paraId="15655888" w14:textId="77777777" w:rsidR="00996BC6" w:rsidRDefault="00996BC6" w:rsidP="00996BC6"/>
    <w:p w14:paraId="3C154C0A" w14:textId="77777777" w:rsidR="00996BC6" w:rsidRDefault="00996BC6" w:rsidP="00996BC6"/>
    <w:p w14:paraId="575DBC96" w14:textId="77777777" w:rsidR="00996BC6" w:rsidRDefault="00996BC6" w:rsidP="00996BC6"/>
    <w:p w14:paraId="41317806" w14:textId="77777777" w:rsidR="00996BC6" w:rsidRDefault="00996BC6" w:rsidP="00996BC6"/>
    <w:p w14:paraId="2D9B8FC8" w14:textId="77777777" w:rsidR="00996BC6" w:rsidRDefault="00996BC6" w:rsidP="00996BC6"/>
    <w:p w14:paraId="75DDF703" w14:textId="77777777" w:rsidR="002546E8" w:rsidRDefault="002546E8" w:rsidP="00996BC6"/>
    <w:p w14:paraId="2ACE4777" w14:textId="77777777" w:rsidR="00574B8F" w:rsidRDefault="00574B8F" w:rsidP="00574B8F">
      <w:pPr>
        <w:jc w:val="right"/>
      </w:pPr>
    </w:p>
    <w:p w14:paraId="5F53FB75" w14:textId="77777777" w:rsidR="00574B8F" w:rsidRDefault="00574B8F" w:rsidP="00574B8F">
      <w:pPr>
        <w:jc w:val="right"/>
      </w:pPr>
    </w:p>
    <w:p w14:paraId="1581738F" w14:textId="77777777" w:rsidR="00574B8F" w:rsidRDefault="00574B8F" w:rsidP="00574B8F">
      <w:pPr>
        <w:jc w:val="right"/>
      </w:pPr>
    </w:p>
    <w:p w14:paraId="2B7B3508" w14:textId="03975B8E" w:rsidR="00574B8F" w:rsidRPr="00996BC6" w:rsidRDefault="00996BC6" w:rsidP="00996BC6">
      <w:pPr>
        <w:rPr>
          <w:sz w:val="18"/>
          <w:szCs w:val="18"/>
        </w:rPr>
      </w:pPr>
      <w:r w:rsidRPr="00996BC6">
        <w:rPr>
          <w:sz w:val="18"/>
          <w:szCs w:val="18"/>
        </w:rPr>
        <w:t>Citation:</w:t>
      </w:r>
    </w:p>
    <w:p w14:paraId="6015D5C4" w14:textId="71338D02" w:rsidR="00574B8F" w:rsidRDefault="00996BC6" w:rsidP="00996BC6">
      <w:r w:rsidRPr="00996BC6">
        <w:rPr>
          <w:sz w:val="18"/>
          <w:szCs w:val="18"/>
        </w:rPr>
        <w:t xml:space="preserve">Flanagan, Heather, ed. “Government-Issued Digital Credentials and the Privacy Landscape.” </w:t>
      </w:r>
      <w:r w:rsidRPr="00996BC6">
        <w:rPr>
          <w:i/>
          <w:iCs/>
          <w:sz w:val="18"/>
          <w:szCs w:val="18"/>
        </w:rPr>
        <w:t>OpenID Foundation</w:t>
      </w:r>
      <w:r w:rsidRPr="00996BC6">
        <w:rPr>
          <w:sz w:val="18"/>
          <w:szCs w:val="18"/>
        </w:rPr>
        <w:t>, May 4, 2023. https://openid.net/Government-issued-Digital-Credentials-and-the-Privacy-Landscape-Final.</w:t>
      </w:r>
    </w:p>
    <w:p w14:paraId="523DED17" w14:textId="77777777" w:rsidR="00574B8F" w:rsidRDefault="00574B8F" w:rsidP="00574B8F">
      <w:pPr>
        <w:jc w:val="right"/>
      </w:pPr>
    </w:p>
    <w:tbl>
      <w:tblPr>
        <w:tblStyle w:val="TableGrid"/>
        <w:tblW w:w="0" w:type="auto"/>
        <w:tblLook w:val="04A0" w:firstRow="1" w:lastRow="0" w:firstColumn="1" w:lastColumn="0" w:noHBand="0" w:noVBand="1"/>
      </w:tblPr>
      <w:tblGrid>
        <w:gridCol w:w="2155"/>
        <w:gridCol w:w="7195"/>
      </w:tblGrid>
      <w:tr w:rsidR="00996BC6" w:rsidRPr="00996BC6" w14:paraId="1564118C" w14:textId="77777777" w:rsidTr="00996BC6">
        <w:tc>
          <w:tcPr>
            <w:tcW w:w="2155" w:type="dxa"/>
            <w:shd w:val="clear" w:color="auto" w:fill="C6D9F1" w:themeFill="text2" w:themeFillTint="33"/>
          </w:tcPr>
          <w:p w14:paraId="0671AA9A" w14:textId="42CC147D" w:rsidR="00996BC6" w:rsidRPr="00996BC6" w:rsidRDefault="00996BC6">
            <w:pPr>
              <w:rPr>
                <w:b/>
                <w:bCs/>
                <w:sz w:val="18"/>
                <w:szCs w:val="18"/>
              </w:rPr>
            </w:pPr>
            <w:r w:rsidRPr="00996BC6">
              <w:rPr>
                <w:b/>
                <w:bCs/>
                <w:sz w:val="18"/>
                <w:szCs w:val="18"/>
              </w:rPr>
              <w:t>Date</w:t>
            </w:r>
          </w:p>
        </w:tc>
        <w:tc>
          <w:tcPr>
            <w:tcW w:w="7195" w:type="dxa"/>
            <w:shd w:val="clear" w:color="auto" w:fill="C6D9F1" w:themeFill="text2" w:themeFillTint="33"/>
          </w:tcPr>
          <w:p w14:paraId="51AA82AD" w14:textId="5394BD42" w:rsidR="00996BC6" w:rsidRPr="00996BC6" w:rsidRDefault="00996BC6">
            <w:pPr>
              <w:rPr>
                <w:b/>
                <w:bCs/>
                <w:sz w:val="18"/>
                <w:szCs w:val="18"/>
              </w:rPr>
            </w:pPr>
            <w:r w:rsidRPr="00996BC6">
              <w:rPr>
                <w:b/>
                <w:bCs/>
                <w:sz w:val="18"/>
                <w:szCs w:val="18"/>
              </w:rPr>
              <w:t>Revision</w:t>
            </w:r>
          </w:p>
        </w:tc>
      </w:tr>
      <w:tr w:rsidR="00996BC6" w:rsidRPr="00996BC6" w14:paraId="18CD3CAA" w14:textId="77777777" w:rsidTr="00996BC6">
        <w:tc>
          <w:tcPr>
            <w:tcW w:w="2155" w:type="dxa"/>
          </w:tcPr>
          <w:p w14:paraId="3B01F483" w14:textId="36E9D9A0" w:rsidR="00996BC6" w:rsidRPr="00996BC6" w:rsidRDefault="00996BC6">
            <w:pPr>
              <w:rPr>
                <w:sz w:val="18"/>
                <w:szCs w:val="18"/>
              </w:rPr>
            </w:pPr>
            <w:r w:rsidRPr="00996BC6">
              <w:rPr>
                <w:sz w:val="18"/>
                <w:szCs w:val="18"/>
              </w:rPr>
              <w:t>4 May 2023</w:t>
            </w:r>
          </w:p>
        </w:tc>
        <w:tc>
          <w:tcPr>
            <w:tcW w:w="7195" w:type="dxa"/>
          </w:tcPr>
          <w:p w14:paraId="550E1876" w14:textId="25DEFDD2" w:rsidR="00996BC6" w:rsidRPr="00996BC6" w:rsidRDefault="00996BC6">
            <w:pPr>
              <w:rPr>
                <w:sz w:val="18"/>
                <w:szCs w:val="18"/>
              </w:rPr>
            </w:pPr>
            <w:r w:rsidRPr="00996BC6">
              <w:rPr>
                <w:sz w:val="18"/>
                <w:szCs w:val="18"/>
              </w:rPr>
              <w:t>Publication of final v 1.0</w:t>
            </w:r>
          </w:p>
        </w:tc>
      </w:tr>
      <w:tr w:rsidR="00996BC6" w:rsidRPr="00996BC6" w14:paraId="4BD2FC2F" w14:textId="77777777" w:rsidTr="00996BC6">
        <w:tc>
          <w:tcPr>
            <w:tcW w:w="2155" w:type="dxa"/>
          </w:tcPr>
          <w:p w14:paraId="149CF86A" w14:textId="136C7117" w:rsidR="00996BC6" w:rsidRPr="00996BC6" w:rsidRDefault="00996BC6">
            <w:pPr>
              <w:rPr>
                <w:sz w:val="18"/>
                <w:szCs w:val="18"/>
              </w:rPr>
            </w:pPr>
            <w:r w:rsidRPr="00996BC6">
              <w:rPr>
                <w:sz w:val="18"/>
                <w:szCs w:val="18"/>
              </w:rPr>
              <w:t>5 April 2023</w:t>
            </w:r>
          </w:p>
        </w:tc>
        <w:tc>
          <w:tcPr>
            <w:tcW w:w="7195" w:type="dxa"/>
          </w:tcPr>
          <w:p w14:paraId="64F2A5E4" w14:textId="13E663B4" w:rsidR="00996BC6" w:rsidRPr="00996BC6" w:rsidRDefault="00996BC6">
            <w:pPr>
              <w:rPr>
                <w:sz w:val="18"/>
                <w:szCs w:val="18"/>
              </w:rPr>
            </w:pPr>
            <w:r w:rsidRPr="00996BC6">
              <w:rPr>
                <w:sz w:val="18"/>
                <w:szCs w:val="18"/>
              </w:rPr>
              <w:t>Publication of public comment draft</w:t>
            </w:r>
          </w:p>
        </w:tc>
      </w:tr>
      <w:tr w:rsidR="00996BC6" w:rsidRPr="00996BC6" w14:paraId="4019E195" w14:textId="77777777" w:rsidTr="00996BC6">
        <w:tc>
          <w:tcPr>
            <w:tcW w:w="2155" w:type="dxa"/>
          </w:tcPr>
          <w:p w14:paraId="7821878A" w14:textId="6024CB25" w:rsidR="00996BC6" w:rsidRPr="00996BC6" w:rsidRDefault="00996BC6">
            <w:pPr>
              <w:rPr>
                <w:sz w:val="18"/>
                <w:szCs w:val="18"/>
              </w:rPr>
            </w:pPr>
            <w:r w:rsidRPr="00996BC6">
              <w:rPr>
                <w:sz w:val="18"/>
                <w:szCs w:val="18"/>
              </w:rPr>
              <w:t>14 March 2023</w:t>
            </w:r>
          </w:p>
        </w:tc>
        <w:tc>
          <w:tcPr>
            <w:tcW w:w="7195" w:type="dxa"/>
          </w:tcPr>
          <w:p w14:paraId="3959ABA0" w14:textId="5F59C6DB" w:rsidR="00996BC6" w:rsidRPr="00996BC6" w:rsidRDefault="00996BC6">
            <w:pPr>
              <w:rPr>
                <w:sz w:val="18"/>
                <w:szCs w:val="18"/>
              </w:rPr>
            </w:pPr>
            <w:r w:rsidRPr="00996BC6">
              <w:rPr>
                <w:sz w:val="18"/>
                <w:szCs w:val="18"/>
              </w:rPr>
              <w:t>Publication of private comment draft</w:t>
            </w:r>
          </w:p>
        </w:tc>
      </w:tr>
    </w:tbl>
    <w:p w14:paraId="243EDBC5" w14:textId="76FC645B" w:rsidR="00996BC6" w:rsidRDefault="00996BC6">
      <w:pPr>
        <w:spacing w:line="276" w:lineRule="auto"/>
      </w:pPr>
    </w:p>
    <w:p w14:paraId="14D40EE4" w14:textId="77777777" w:rsidR="000A6003" w:rsidRDefault="000A6003"/>
    <w:sdt>
      <w:sdtPr>
        <w:rPr>
          <w:rFonts w:ascii="Open Sans" w:eastAsia="Times New Roman" w:hAnsi="Open Sans" w:cs="Times New Roman"/>
          <w:b w:val="0"/>
          <w:bCs w:val="0"/>
          <w:color w:val="auto"/>
          <w:sz w:val="22"/>
          <w:szCs w:val="24"/>
        </w:rPr>
        <w:id w:val="215935561"/>
        <w:docPartObj>
          <w:docPartGallery w:val="Table of Contents"/>
          <w:docPartUnique/>
        </w:docPartObj>
      </w:sdtPr>
      <w:sdtEndPr>
        <w:rPr>
          <w:noProof/>
        </w:rPr>
      </w:sdtEndPr>
      <w:sdtContent>
        <w:p w14:paraId="4F672F3D" w14:textId="68B1C213" w:rsidR="004F61DD" w:rsidRDefault="004F61DD">
          <w:pPr>
            <w:pStyle w:val="TOCHeading"/>
          </w:pPr>
          <w:r>
            <w:t>Table of Contents</w:t>
          </w:r>
        </w:p>
        <w:p w14:paraId="1D448F37" w14:textId="3BFA2310" w:rsidR="00662C9A" w:rsidRDefault="004F61DD">
          <w:pPr>
            <w:pStyle w:val="TOC1"/>
            <w:tabs>
              <w:tab w:val="left" w:pos="440"/>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34081041" w:history="1">
            <w:r w:rsidR="00662C9A" w:rsidRPr="00845877">
              <w:rPr>
                <w:rStyle w:val="Hyperlink"/>
                <w:noProof/>
              </w:rPr>
              <w:t>1</w:t>
            </w:r>
            <w:r w:rsidR="00662C9A">
              <w:rPr>
                <w:rFonts w:eastAsiaTheme="minorEastAsia" w:cstheme="minorBidi"/>
                <w:b w:val="0"/>
                <w:bCs w:val="0"/>
                <w:i w:val="0"/>
                <w:iCs w:val="0"/>
                <w:noProof/>
                <w:kern w:val="2"/>
                <w14:ligatures w14:val="standardContextual"/>
              </w:rPr>
              <w:tab/>
            </w:r>
            <w:r w:rsidR="00662C9A" w:rsidRPr="00845877">
              <w:rPr>
                <w:rStyle w:val="Hyperlink"/>
                <w:noProof/>
              </w:rPr>
              <w:t>About This Paper</w:t>
            </w:r>
            <w:r w:rsidR="00662C9A">
              <w:rPr>
                <w:noProof/>
                <w:webHidden/>
              </w:rPr>
              <w:tab/>
            </w:r>
            <w:r w:rsidR="00662C9A">
              <w:rPr>
                <w:noProof/>
                <w:webHidden/>
              </w:rPr>
              <w:fldChar w:fldCharType="begin"/>
            </w:r>
            <w:r w:rsidR="00662C9A">
              <w:rPr>
                <w:noProof/>
                <w:webHidden/>
              </w:rPr>
              <w:instrText xml:space="preserve"> PAGEREF _Toc134081041 \h </w:instrText>
            </w:r>
            <w:r w:rsidR="00662C9A">
              <w:rPr>
                <w:noProof/>
                <w:webHidden/>
              </w:rPr>
            </w:r>
            <w:r w:rsidR="00662C9A">
              <w:rPr>
                <w:noProof/>
                <w:webHidden/>
              </w:rPr>
              <w:fldChar w:fldCharType="separate"/>
            </w:r>
            <w:r w:rsidR="00662C9A">
              <w:rPr>
                <w:noProof/>
                <w:webHidden/>
              </w:rPr>
              <w:t>1</w:t>
            </w:r>
            <w:r w:rsidR="00662C9A">
              <w:rPr>
                <w:noProof/>
                <w:webHidden/>
              </w:rPr>
              <w:fldChar w:fldCharType="end"/>
            </w:r>
          </w:hyperlink>
        </w:p>
        <w:p w14:paraId="6A36FAC8" w14:textId="4503651D"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42" w:history="1">
            <w:r w:rsidRPr="00845877">
              <w:rPr>
                <w:rStyle w:val="Hyperlink"/>
                <w:noProof/>
              </w:rPr>
              <w:t>1.1</w:t>
            </w:r>
            <w:r>
              <w:rPr>
                <w:rFonts w:eastAsiaTheme="minorEastAsia" w:cstheme="minorBidi"/>
                <w:b w:val="0"/>
                <w:bCs w:val="0"/>
                <w:noProof/>
                <w:kern w:val="2"/>
                <w:sz w:val="24"/>
                <w:szCs w:val="24"/>
                <w14:ligatures w14:val="standardContextual"/>
              </w:rPr>
              <w:tab/>
            </w:r>
            <w:r w:rsidRPr="00845877">
              <w:rPr>
                <w:rStyle w:val="Hyperlink"/>
                <w:noProof/>
              </w:rPr>
              <w:t>Scope</w:t>
            </w:r>
            <w:r>
              <w:rPr>
                <w:noProof/>
                <w:webHidden/>
              </w:rPr>
              <w:tab/>
            </w:r>
            <w:r>
              <w:rPr>
                <w:noProof/>
                <w:webHidden/>
              </w:rPr>
              <w:fldChar w:fldCharType="begin"/>
            </w:r>
            <w:r>
              <w:rPr>
                <w:noProof/>
                <w:webHidden/>
              </w:rPr>
              <w:instrText xml:space="preserve"> PAGEREF _Toc134081042 \h </w:instrText>
            </w:r>
            <w:r>
              <w:rPr>
                <w:noProof/>
                <w:webHidden/>
              </w:rPr>
            </w:r>
            <w:r>
              <w:rPr>
                <w:noProof/>
                <w:webHidden/>
              </w:rPr>
              <w:fldChar w:fldCharType="separate"/>
            </w:r>
            <w:r>
              <w:rPr>
                <w:noProof/>
                <w:webHidden/>
              </w:rPr>
              <w:t>1</w:t>
            </w:r>
            <w:r>
              <w:rPr>
                <w:noProof/>
                <w:webHidden/>
              </w:rPr>
              <w:fldChar w:fldCharType="end"/>
            </w:r>
          </w:hyperlink>
        </w:p>
        <w:p w14:paraId="5A3FC7A3" w14:textId="0517DAD4"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43" w:history="1">
            <w:r w:rsidRPr="00845877">
              <w:rPr>
                <w:rStyle w:val="Hyperlink"/>
                <w:noProof/>
              </w:rPr>
              <w:t>1.2</w:t>
            </w:r>
            <w:r>
              <w:rPr>
                <w:rFonts w:eastAsiaTheme="minorEastAsia" w:cstheme="minorBidi"/>
                <w:b w:val="0"/>
                <w:bCs w:val="0"/>
                <w:noProof/>
                <w:kern w:val="2"/>
                <w:sz w:val="24"/>
                <w:szCs w:val="24"/>
                <w14:ligatures w14:val="standardContextual"/>
              </w:rPr>
              <w:tab/>
            </w:r>
            <w:r w:rsidRPr="00845877">
              <w:rPr>
                <w:rStyle w:val="Hyperlink"/>
                <w:noProof/>
              </w:rPr>
              <w:t>Executive Summary</w:t>
            </w:r>
            <w:r>
              <w:rPr>
                <w:noProof/>
                <w:webHidden/>
              </w:rPr>
              <w:tab/>
            </w:r>
            <w:r>
              <w:rPr>
                <w:noProof/>
                <w:webHidden/>
              </w:rPr>
              <w:fldChar w:fldCharType="begin"/>
            </w:r>
            <w:r>
              <w:rPr>
                <w:noProof/>
                <w:webHidden/>
              </w:rPr>
              <w:instrText xml:space="preserve"> PAGEREF _Toc134081043 \h </w:instrText>
            </w:r>
            <w:r>
              <w:rPr>
                <w:noProof/>
                <w:webHidden/>
              </w:rPr>
            </w:r>
            <w:r>
              <w:rPr>
                <w:noProof/>
                <w:webHidden/>
              </w:rPr>
              <w:fldChar w:fldCharType="separate"/>
            </w:r>
            <w:r>
              <w:rPr>
                <w:noProof/>
                <w:webHidden/>
              </w:rPr>
              <w:t>1</w:t>
            </w:r>
            <w:r>
              <w:rPr>
                <w:noProof/>
                <w:webHidden/>
              </w:rPr>
              <w:fldChar w:fldCharType="end"/>
            </w:r>
          </w:hyperlink>
        </w:p>
        <w:p w14:paraId="5BDA9127" w14:textId="368BA0A7"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044" w:history="1">
            <w:r w:rsidRPr="00845877">
              <w:rPr>
                <w:rStyle w:val="Hyperlink"/>
                <w:noProof/>
              </w:rPr>
              <w:t>2</w:t>
            </w:r>
            <w:r>
              <w:rPr>
                <w:rFonts w:eastAsiaTheme="minorEastAsia" w:cstheme="minorBidi"/>
                <w:b w:val="0"/>
                <w:bCs w:val="0"/>
                <w:i w:val="0"/>
                <w:iCs w:val="0"/>
                <w:noProof/>
                <w:kern w:val="2"/>
                <w14:ligatures w14:val="standardContextual"/>
              </w:rPr>
              <w:tab/>
            </w:r>
            <w:r w:rsidRPr="00845877">
              <w:rPr>
                <w:rStyle w:val="Hyperlink"/>
                <w:noProof/>
              </w:rPr>
              <w:t>Introduction</w:t>
            </w:r>
            <w:r>
              <w:rPr>
                <w:noProof/>
                <w:webHidden/>
              </w:rPr>
              <w:tab/>
            </w:r>
            <w:r>
              <w:rPr>
                <w:noProof/>
                <w:webHidden/>
              </w:rPr>
              <w:fldChar w:fldCharType="begin"/>
            </w:r>
            <w:r>
              <w:rPr>
                <w:noProof/>
                <w:webHidden/>
              </w:rPr>
              <w:instrText xml:space="preserve"> PAGEREF _Toc134081044 \h </w:instrText>
            </w:r>
            <w:r>
              <w:rPr>
                <w:noProof/>
                <w:webHidden/>
              </w:rPr>
            </w:r>
            <w:r>
              <w:rPr>
                <w:noProof/>
                <w:webHidden/>
              </w:rPr>
              <w:fldChar w:fldCharType="separate"/>
            </w:r>
            <w:r>
              <w:rPr>
                <w:noProof/>
                <w:webHidden/>
              </w:rPr>
              <w:t>2</w:t>
            </w:r>
            <w:r>
              <w:rPr>
                <w:noProof/>
                <w:webHidden/>
              </w:rPr>
              <w:fldChar w:fldCharType="end"/>
            </w:r>
          </w:hyperlink>
        </w:p>
        <w:p w14:paraId="6AFF764F" w14:textId="0CDAFC1D"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45" w:history="1">
            <w:r w:rsidRPr="00845877">
              <w:rPr>
                <w:rStyle w:val="Hyperlink"/>
                <w:noProof/>
              </w:rPr>
              <w:t>2.1</w:t>
            </w:r>
            <w:r>
              <w:rPr>
                <w:rFonts w:eastAsiaTheme="minorEastAsia" w:cstheme="minorBidi"/>
                <w:b w:val="0"/>
                <w:bCs w:val="0"/>
                <w:noProof/>
                <w:kern w:val="2"/>
                <w:sz w:val="24"/>
                <w:szCs w:val="24"/>
                <w14:ligatures w14:val="standardContextual"/>
              </w:rPr>
              <w:tab/>
            </w:r>
            <w:r w:rsidRPr="00845877">
              <w:rPr>
                <w:rStyle w:val="Hyperlink"/>
                <w:rFonts w:eastAsia="Calibri"/>
                <w:noProof/>
              </w:rPr>
              <w:t>Terms and Definitions</w:t>
            </w:r>
            <w:r>
              <w:rPr>
                <w:noProof/>
                <w:webHidden/>
              </w:rPr>
              <w:tab/>
            </w:r>
            <w:r>
              <w:rPr>
                <w:noProof/>
                <w:webHidden/>
              </w:rPr>
              <w:fldChar w:fldCharType="begin"/>
            </w:r>
            <w:r>
              <w:rPr>
                <w:noProof/>
                <w:webHidden/>
              </w:rPr>
              <w:instrText xml:space="preserve"> PAGEREF _Toc134081045 \h </w:instrText>
            </w:r>
            <w:r>
              <w:rPr>
                <w:noProof/>
                <w:webHidden/>
              </w:rPr>
            </w:r>
            <w:r>
              <w:rPr>
                <w:noProof/>
                <w:webHidden/>
              </w:rPr>
              <w:fldChar w:fldCharType="separate"/>
            </w:r>
            <w:r>
              <w:rPr>
                <w:noProof/>
                <w:webHidden/>
              </w:rPr>
              <w:t>6</w:t>
            </w:r>
            <w:r>
              <w:rPr>
                <w:noProof/>
                <w:webHidden/>
              </w:rPr>
              <w:fldChar w:fldCharType="end"/>
            </w:r>
          </w:hyperlink>
        </w:p>
        <w:p w14:paraId="656A992D" w14:textId="6993DD0B"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046" w:history="1">
            <w:r w:rsidRPr="00845877">
              <w:rPr>
                <w:rStyle w:val="Hyperlink"/>
                <w:noProof/>
              </w:rPr>
              <w:t>3</w:t>
            </w:r>
            <w:r>
              <w:rPr>
                <w:rFonts w:eastAsiaTheme="minorEastAsia" w:cstheme="minorBidi"/>
                <w:b w:val="0"/>
                <w:bCs w:val="0"/>
                <w:i w:val="0"/>
                <w:iCs w:val="0"/>
                <w:noProof/>
                <w:kern w:val="2"/>
                <w14:ligatures w14:val="standardContextual"/>
              </w:rPr>
              <w:tab/>
            </w:r>
            <w:r w:rsidRPr="00845877">
              <w:rPr>
                <w:rStyle w:val="Hyperlink"/>
                <w:noProof/>
              </w:rPr>
              <w:t>The Current Landscape of Policy and Technology</w:t>
            </w:r>
            <w:r>
              <w:rPr>
                <w:noProof/>
                <w:webHidden/>
              </w:rPr>
              <w:tab/>
            </w:r>
            <w:r>
              <w:rPr>
                <w:noProof/>
                <w:webHidden/>
              </w:rPr>
              <w:fldChar w:fldCharType="begin"/>
            </w:r>
            <w:r>
              <w:rPr>
                <w:noProof/>
                <w:webHidden/>
              </w:rPr>
              <w:instrText xml:space="preserve"> PAGEREF _Toc134081046 \h </w:instrText>
            </w:r>
            <w:r>
              <w:rPr>
                <w:noProof/>
                <w:webHidden/>
              </w:rPr>
            </w:r>
            <w:r>
              <w:rPr>
                <w:noProof/>
                <w:webHidden/>
              </w:rPr>
              <w:fldChar w:fldCharType="separate"/>
            </w:r>
            <w:r>
              <w:rPr>
                <w:noProof/>
                <w:webHidden/>
              </w:rPr>
              <w:t>6</w:t>
            </w:r>
            <w:r>
              <w:rPr>
                <w:noProof/>
                <w:webHidden/>
              </w:rPr>
              <w:fldChar w:fldCharType="end"/>
            </w:r>
          </w:hyperlink>
        </w:p>
        <w:p w14:paraId="45834384" w14:textId="39B0D7EC"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47" w:history="1">
            <w:r w:rsidRPr="00845877">
              <w:rPr>
                <w:rStyle w:val="Hyperlink"/>
                <w:noProof/>
              </w:rPr>
              <w:t>3.1</w:t>
            </w:r>
            <w:r>
              <w:rPr>
                <w:rFonts w:eastAsiaTheme="minorEastAsia" w:cstheme="minorBidi"/>
                <w:b w:val="0"/>
                <w:bCs w:val="0"/>
                <w:noProof/>
                <w:kern w:val="2"/>
                <w:sz w:val="24"/>
                <w:szCs w:val="24"/>
                <w14:ligatures w14:val="standardContextual"/>
              </w:rPr>
              <w:tab/>
            </w:r>
            <w:r w:rsidRPr="00845877">
              <w:rPr>
                <w:rStyle w:val="Hyperlink"/>
                <w:noProof/>
              </w:rPr>
              <w:t>Influential National and International Regulations and Standards</w:t>
            </w:r>
            <w:r>
              <w:rPr>
                <w:noProof/>
                <w:webHidden/>
              </w:rPr>
              <w:tab/>
            </w:r>
            <w:r>
              <w:rPr>
                <w:noProof/>
                <w:webHidden/>
              </w:rPr>
              <w:fldChar w:fldCharType="begin"/>
            </w:r>
            <w:r>
              <w:rPr>
                <w:noProof/>
                <w:webHidden/>
              </w:rPr>
              <w:instrText xml:space="preserve"> PAGEREF _Toc134081047 \h </w:instrText>
            </w:r>
            <w:r>
              <w:rPr>
                <w:noProof/>
                <w:webHidden/>
              </w:rPr>
            </w:r>
            <w:r>
              <w:rPr>
                <w:noProof/>
                <w:webHidden/>
              </w:rPr>
              <w:fldChar w:fldCharType="separate"/>
            </w:r>
            <w:r>
              <w:rPr>
                <w:noProof/>
                <w:webHidden/>
              </w:rPr>
              <w:t>7</w:t>
            </w:r>
            <w:r>
              <w:rPr>
                <w:noProof/>
                <w:webHidden/>
              </w:rPr>
              <w:fldChar w:fldCharType="end"/>
            </w:r>
          </w:hyperlink>
        </w:p>
        <w:p w14:paraId="57C1F592" w14:textId="7EF94D53"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48" w:history="1">
            <w:r w:rsidRPr="00845877">
              <w:rPr>
                <w:rStyle w:val="Hyperlink"/>
                <w:noProof/>
              </w:rPr>
              <w:t>3.1.1</w:t>
            </w:r>
            <w:r>
              <w:rPr>
                <w:rFonts w:eastAsiaTheme="minorEastAsia" w:cstheme="minorBidi"/>
                <w:noProof/>
                <w:kern w:val="2"/>
                <w:sz w:val="24"/>
                <w:szCs w:val="24"/>
                <w14:ligatures w14:val="standardContextual"/>
              </w:rPr>
              <w:tab/>
            </w:r>
            <w:r w:rsidRPr="00845877">
              <w:rPr>
                <w:rStyle w:val="Hyperlink"/>
                <w:noProof/>
              </w:rPr>
              <w:t>OECD Privacy Principles</w:t>
            </w:r>
            <w:r>
              <w:rPr>
                <w:noProof/>
                <w:webHidden/>
              </w:rPr>
              <w:tab/>
            </w:r>
            <w:r>
              <w:rPr>
                <w:noProof/>
                <w:webHidden/>
              </w:rPr>
              <w:fldChar w:fldCharType="begin"/>
            </w:r>
            <w:r>
              <w:rPr>
                <w:noProof/>
                <w:webHidden/>
              </w:rPr>
              <w:instrText xml:space="preserve"> PAGEREF _Toc134081048 \h </w:instrText>
            </w:r>
            <w:r>
              <w:rPr>
                <w:noProof/>
                <w:webHidden/>
              </w:rPr>
            </w:r>
            <w:r>
              <w:rPr>
                <w:noProof/>
                <w:webHidden/>
              </w:rPr>
              <w:fldChar w:fldCharType="separate"/>
            </w:r>
            <w:r>
              <w:rPr>
                <w:noProof/>
                <w:webHidden/>
              </w:rPr>
              <w:t>8</w:t>
            </w:r>
            <w:r>
              <w:rPr>
                <w:noProof/>
                <w:webHidden/>
              </w:rPr>
              <w:fldChar w:fldCharType="end"/>
            </w:r>
          </w:hyperlink>
        </w:p>
        <w:p w14:paraId="46F6BAFB" w14:textId="5906432D"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49" w:history="1">
            <w:r w:rsidRPr="00845877">
              <w:rPr>
                <w:rStyle w:val="Hyperlink"/>
                <w:noProof/>
              </w:rPr>
              <w:t>3.1.2</w:t>
            </w:r>
            <w:r>
              <w:rPr>
                <w:rFonts w:eastAsiaTheme="minorEastAsia" w:cstheme="minorBidi"/>
                <w:noProof/>
                <w:kern w:val="2"/>
                <w:sz w:val="24"/>
                <w:szCs w:val="24"/>
                <w14:ligatures w14:val="standardContextual"/>
              </w:rPr>
              <w:tab/>
            </w:r>
            <w:r w:rsidRPr="00845877">
              <w:rPr>
                <w:rStyle w:val="Hyperlink"/>
                <w:noProof/>
              </w:rPr>
              <w:t>ISO/IEC 29100 Privacy Framework</w:t>
            </w:r>
            <w:r>
              <w:rPr>
                <w:noProof/>
                <w:webHidden/>
              </w:rPr>
              <w:tab/>
            </w:r>
            <w:r>
              <w:rPr>
                <w:noProof/>
                <w:webHidden/>
              </w:rPr>
              <w:fldChar w:fldCharType="begin"/>
            </w:r>
            <w:r>
              <w:rPr>
                <w:noProof/>
                <w:webHidden/>
              </w:rPr>
              <w:instrText xml:space="preserve"> PAGEREF _Toc134081049 \h </w:instrText>
            </w:r>
            <w:r>
              <w:rPr>
                <w:noProof/>
                <w:webHidden/>
              </w:rPr>
            </w:r>
            <w:r>
              <w:rPr>
                <w:noProof/>
                <w:webHidden/>
              </w:rPr>
              <w:fldChar w:fldCharType="separate"/>
            </w:r>
            <w:r>
              <w:rPr>
                <w:noProof/>
                <w:webHidden/>
              </w:rPr>
              <w:t>9</w:t>
            </w:r>
            <w:r>
              <w:rPr>
                <w:noProof/>
                <w:webHidden/>
              </w:rPr>
              <w:fldChar w:fldCharType="end"/>
            </w:r>
          </w:hyperlink>
        </w:p>
        <w:p w14:paraId="026FF9F7" w14:textId="4C274BE0"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0" w:history="1">
            <w:r w:rsidRPr="00845877">
              <w:rPr>
                <w:rStyle w:val="Hyperlink"/>
                <w:noProof/>
              </w:rPr>
              <w:t>3.1.3</w:t>
            </w:r>
            <w:r>
              <w:rPr>
                <w:rFonts w:eastAsiaTheme="minorEastAsia" w:cstheme="minorBidi"/>
                <w:noProof/>
                <w:kern w:val="2"/>
                <w:sz w:val="24"/>
                <w:szCs w:val="24"/>
                <w14:ligatures w14:val="standardContextual"/>
              </w:rPr>
              <w:tab/>
            </w:r>
            <w:r w:rsidRPr="00845877">
              <w:rPr>
                <w:rStyle w:val="Hyperlink"/>
                <w:noProof/>
              </w:rPr>
              <w:t>General Data Protection Regulation</w:t>
            </w:r>
            <w:r>
              <w:rPr>
                <w:noProof/>
                <w:webHidden/>
              </w:rPr>
              <w:tab/>
            </w:r>
            <w:r>
              <w:rPr>
                <w:noProof/>
                <w:webHidden/>
              </w:rPr>
              <w:fldChar w:fldCharType="begin"/>
            </w:r>
            <w:r>
              <w:rPr>
                <w:noProof/>
                <w:webHidden/>
              </w:rPr>
              <w:instrText xml:space="preserve"> PAGEREF _Toc134081050 \h </w:instrText>
            </w:r>
            <w:r>
              <w:rPr>
                <w:noProof/>
                <w:webHidden/>
              </w:rPr>
            </w:r>
            <w:r>
              <w:rPr>
                <w:noProof/>
                <w:webHidden/>
              </w:rPr>
              <w:fldChar w:fldCharType="separate"/>
            </w:r>
            <w:r>
              <w:rPr>
                <w:noProof/>
                <w:webHidden/>
              </w:rPr>
              <w:t>10</w:t>
            </w:r>
            <w:r>
              <w:rPr>
                <w:noProof/>
                <w:webHidden/>
              </w:rPr>
              <w:fldChar w:fldCharType="end"/>
            </w:r>
          </w:hyperlink>
        </w:p>
        <w:p w14:paraId="1CD536D9" w14:textId="3EB53B94"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1" w:history="1">
            <w:r w:rsidRPr="00845877">
              <w:rPr>
                <w:rStyle w:val="Hyperlink"/>
                <w:noProof/>
              </w:rPr>
              <w:t>3.1.4</w:t>
            </w:r>
            <w:r>
              <w:rPr>
                <w:rFonts w:eastAsiaTheme="minorEastAsia" w:cstheme="minorBidi"/>
                <w:noProof/>
                <w:kern w:val="2"/>
                <w:sz w:val="24"/>
                <w:szCs w:val="24"/>
                <w14:ligatures w14:val="standardContextual"/>
              </w:rPr>
              <w:tab/>
            </w:r>
            <w:r w:rsidRPr="00845877">
              <w:rPr>
                <w:rStyle w:val="Hyperlink"/>
                <w:noProof/>
              </w:rPr>
              <w:t>NIS2 Directive</w:t>
            </w:r>
            <w:r>
              <w:rPr>
                <w:noProof/>
                <w:webHidden/>
              </w:rPr>
              <w:tab/>
            </w:r>
            <w:r>
              <w:rPr>
                <w:noProof/>
                <w:webHidden/>
              </w:rPr>
              <w:fldChar w:fldCharType="begin"/>
            </w:r>
            <w:r>
              <w:rPr>
                <w:noProof/>
                <w:webHidden/>
              </w:rPr>
              <w:instrText xml:space="preserve"> PAGEREF _Toc134081051 \h </w:instrText>
            </w:r>
            <w:r>
              <w:rPr>
                <w:noProof/>
                <w:webHidden/>
              </w:rPr>
            </w:r>
            <w:r>
              <w:rPr>
                <w:noProof/>
                <w:webHidden/>
              </w:rPr>
              <w:fldChar w:fldCharType="separate"/>
            </w:r>
            <w:r>
              <w:rPr>
                <w:noProof/>
                <w:webHidden/>
              </w:rPr>
              <w:t>11</w:t>
            </w:r>
            <w:r>
              <w:rPr>
                <w:noProof/>
                <w:webHidden/>
              </w:rPr>
              <w:fldChar w:fldCharType="end"/>
            </w:r>
          </w:hyperlink>
        </w:p>
        <w:p w14:paraId="3AA5EC91" w14:textId="7A2B5F18"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2" w:history="1">
            <w:r w:rsidRPr="00845877">
              <w:rPr>
                <w:rStyle w:val="Hyperlink"/>
                <w:noProof/>
              </w:rPr>
              <w:t>3.1.5</w:t>
            </w:r>
            <w:r>
              <w:rPr>
                <w:rFonts w:eastAsiaTheme="minorEastAsia" w:cstheme="minorBidi"/>
                <w:noProof/>
                <w:kern w:val="2"/>
                <w:sz w:val="24"/>
                <w:szCs w:val="24"/>
                <w14:ligatures w14:val="standardContextual"/>
              </w:rPr>
              <w:tab/>
            </w:r>
            <w:r w:rsidRPr="00845877">
              <w:rPr>
                <w:rStyle w:val="Hyperlink"/>
                <w:noProof/>
              </w:rPr>
              <w:t>SDGR and the Once-Only principle</w:t>
            </w:r>
            <w:r>
              <w:rPr>
                <w:noProof/>
                <w:webHidden/>
              </w:rPr>
              <w:tab/>
            </w:r>
            <w:r>
              <w:rPr>
                <w:noProof/>
                <w:webHidden/>
              </w:rPr>
              <w:fldChar w:fldCharType="begin"/>
            </w:r>
            <w:r>
              <w:rPr>
                <w:noProof/>
                <w:webHidden/>
              </w:rPr>
              <w:instrText xml:space="preserve"> PAGEREF _Toc134081052 \h </w:instrText>
            </w:r>
            <w:r>
              <w:rPr>
                <w:noProof/>
                <w:webHidden/>
              </w:rPr>
            </w:r>
            <w:r>
              <w:rPr>
                <w:noProof/>
                <w:webHidden/>
              </w:rPr>
              <w:fldChar w:fldCharType="separate"/>
            </w:r>
            <w:r>
              <w:rPr>
                <w:noProof/>
                <w:webHidden/>
              </w:rPr>
              <w:t>11</w:t>
            </w:r>
            <w:r>
              <w:rPr>
                <w:noProof/>
                <w:webHidden/>
              </w:rPr>
              <w:fldChar w:fldCharType="end"/>
            </w:r>
          </w:hyperlink>
        </w:p>
        <w:p w14:paraId="0A7136F8" w14:textId="1AA9399B"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53" w:history="1">
            <w:r w:rsidRPr="00845877">
              <w:rPr>
                <w:rStyle w:val="Hyperlink"/>
                <w:noProof/>
              </w:rPr>
              <w:t>3.2</w:t>
            </w:r>
            <w:r>
              <w:rPr>
                <w:rFonts w:eastAsiaTheme="minorEastAsia" w:cstheme="minorBidi"/>
                <w:b w:val="0"/>
                <w:bCs w:val="0"/>
                <w:noProof/>
                <w:kern w:val="2"/>
                <w:sz w:val="24"/>
                <w:szCs w:val="24"/>
                <w14:ligatures w14:val="standardContextual"/>
              </w:rPr>
              <w:tab/>
            </w:r>
            <w:r w:rsidRPr="00845877">
              <w:rPr>
                <w:rStyle w:val="Hyperlink"/>
                <w:noProof/>
              </w:rPr>
              <w:t>Government-Issued Digital Credential Systems</w:t>
            </w:r>
            <w:r>
              <w:rPr>
                <w:noProof/>
                <w:webHidden/>
              </w:rPr>
              <w:tab/>
            </w:r>
            <w:r>
              <w:rPr>
                <w:noProof/>
                <w:webHidden/>
              </w:rPr>
              <w:fldChar w:fldCharType="begin"/>
            </w:r>
            <w:r>
              <w:rPr>
                <w:noProof/>
                <w:webHidden/>
              </w:rPr>
              <w:instrText xml:space="preserve"> PAGEREF _Toc134081053 \h </w:instrText>
            </w:r>
            <w:r>
              <w:rPr>
                <w:noProof/>
                <w:webHidden/>
              </w:rPr>
            </w:r>
            <w:r>
              <w:rPr>
                <w:noProof/>
                <w:webHidden/>
              </w:rPr>
              <w:fldChar w:fldCharType="separate"/>
            </w:r>
            <w:r>
              <w:rPr>
                <w:noProof/>
                <w:webHidden/>
              </w:rPr>
              <w:t>12</w:t>
            </w:r>
            <w:r>
              <w:rPr>
                <w:noProof/>
                <w:webHidden/>
              </w:rPr>
              <w:fldChar w:fldCharType="end"/>
            </w:r>
          </w:hyperlink>
        </w:p>
        <w:p w14:paraId="345675BA" w14:textId="06ECAB8F"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4" w:history="1">
            <w:r w:rsidRPr="00845877">
              <w:rPr>
                <w:rStyle w:val="Hyperlink"/>
                <w:noProof/>
              </w:rPr>
              <w:t>3.2.1</w:t>
            </w:r>
            <w:r>
              <w:rPr>
                <w:rFonts w:eastAsiaTheme="minorEastAsia" w:cstheme="minorBidi"/>
                <w:noProof/>
                <w:kern w:val="2"/>
                <w:sz w:val="24"/>
                <w:szCs w:val="24"/>
                <w14:ligatures w14:val="standardContextual"/>
              </w:rPr>
              <w:tab/>
            </w:r>
            <w:r w:rsidRPr="00845877">
              <w:rPr>
                <w:rStyle w:val="Hyperlink"/>
                <w:bCs/>
                <w:noProof/>
              </w:rPr>
              <w:t>eIDAS 2.0 (electronic IDentification, Authentication, and trust Services)</w:t>
            </w:r>
            <w:r>
              <w:rPr>
                <w:noProof/>
                <w:webHidden/>
              </w:rPr>
              <w:tab/>
            </w:r>
            <w:r>
              <w:rPr>
                <w:noProof/>
                <w:webHidden/>
              </w:rPr>
              <w:fldChar w:fldCharType="begin"/>
            </w:r>
            <w:r>
              <w:rPr>
                <w:noProof/>
                <w:webHidden/>
              </w:rPr>
              <w:instrText xml:space="preserve"> PAGEREF _Toc134081054 \h </w:instrText>
            </w:r>
            <w:r>
              <w:rPr>
                <w:noProof/>
                <w:webHidden/>
              </w:rPr>
            </w:r>
            <w:r>
              <w:rPr>
                <w:noProof/>
                <w:webHidden/>
              </w:rPr>
              <w:fldChar w:fldCharType="separate"/>
            </w:r>
            <w:r>
              <w:rPr>
                <w:noProof/>
                <w:webHidden/>
              </w:rPr>
              <w:t>14</w:t>
            </w:r>
            <w:r>
              <w:rPr>
                <w:noProof/>
                <w:webHidden/>
              </w:rPr>
              <w:fldChar w:fldCharType="end"/>
            </w:r>
          </w:hyperlink>
        </w:p>
        <w:p w14:paraId="73EF2BCC" w14:textId="220A47B4"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5" w:history="1">
            <w:r w:rsidRPr="00845877">
              <w:rPr>
                <w:rStyle w:val="Hyperlink"/>
                <w:noProof/>
              </w:rPr>
              <w:t>3.2.2</w:t>
            </w:r>
            <w:r>
              <w:rPr>
                <w:rFonts w:eastAsiaTheme="minorEastAsia" w:cstheme="minorBidi"/>
                <w:noProof/>
                <w:kern w:val="2"/>
                <w:sz w:val="24"/>
                <w:szCs w:val="24"/>
                <w14:ligatures w14:val="standardContextual"/>
              </w:rPr>
              <w:tab/>
            </w:r>
            <w:r w:rsidRPr="00845877">
              <w:rPr>
                <w:rStyle w:val="Hyperlink"/>
                <w:noProof/>
              </w:rPr>
              <w:t>India’s Aadhaar System</w:t>
            </w:r>
            <w:r>
              <w:rPr>
                <w:noProof/>
                <w:webHidden/>
              </w:rPr>
              <w:tab/>
            </w:r>
            <w:r>
              <w:rPr>
                <w:noProof/>
                <w:webHidden/>
              </w:rPr>
              <w:fldChar w:fldCharType="begin"/>
            </w:r>
            <w:r>
              <w:rPr>
                <w:noProof/>
                <w:webHidden/>
              </w:rPr>
              <w:instrText xml:space="preserve"> PAGEREF _Toc134081055 \h </w:instrText>
            </w:r>
            <w:r>
              <w:rPr>
                <w:noProof/>
                <w:webHidden/>
              </w:rPr>
            </w:r>
            <w:r>
              <w:rPr>
                <w:noProof/>
                <w:webHidden/>
              </w:rPr>
              <w:fldChar w:fldCharType="separate"/>
            </w:r>
            <w:r>
              <w:rPr>
                <w:noProof/>
                <w:webHidden/>
              </w:rPr>
              <w:t>15</w:t>
            </w:r>
            <w:r>
              <w:rPr>
                <w:noProof/>
                <w:webHidden/>
              </w:rPr>
              <w:fldChar w:fldCharType="end"/>
            </w:r>
          </w:hyperlink>
        </w:p>
        <w:p w14:paraId="39701909" w14:textId="13E66079"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6" w:history="1">
            <w:r w:rsidRPr="00845877">
              <w:rPr>
                <w:rStyle w:val="Hyperlink"/>
                <w:noProof/>
              </w:rPr>
              <w:t>3.2.3</w:t>
            </w:r>
            <w:r>
              <w:rPr>
                <w:rFonts w:eastAsiaTheme="minorEastAsia" w:cstheme="minorBidi"/>
                <w:noProof/>
                <w:kern w:val="2"/>
                <w:sz w:val="24"/>
                <w:szCs w:val="24"/>
                <w14:ligatures w14:val="standardContextual"/>
              </w:rPr>
              <w:tab/>
            </w:r>
            <w:r w:rsidRPr="00845877">
              <w:rPr>
                <w:rStyle w:val="Hyperlink"/>
                <w:noProof/>
              </w:rPr>
              <w:t>Italy’s Public Digital Identity System</w:t>
            </w:r>
            <w:r>
              <w:rPr>
                <w:noProof/>
                <w:webHidden/>
              </w:rPr>
              <w:tab/>
            </w:r>
            <w:r>
              <w:rPr>
                <w:noProof/>
                <w:webHidden/>
              </w:rPr>
              <w:fldChar w:fldCharType="begin"/>
            </w:r>
            <w:r>
              <w:rPr>
                <w:noProof/>
                <w:webHidden/>
              </w:rPr>
              <w:instrText xml:space="preserve"> PAGEREF _Toc134081056 \h </w:instrText>
            </w:r>
            <w:r>
              <w:rPr>
                <w:noProof/>
                <w:webHidden/>
              </w:rPr>
            </w:r>
            <w:r>
              <w:rPr>
                <w:noProof/>
                <w:webHidden/>
              </w:rPr>
              <w:fldChar w:fldCharType="separate"/>
            </w:r>
            <w:r>
              <w:rPr>
                <w:noProof/>
                <w:webHidden/>
              </w:rPr>
              <w:t>18</w:t>
            </w:r>
            <w:r>
              <w:rPr>
                <w:noProof/>
                <w:webHidden/>
              </w:rPr>
              <w:fldChar w:fldCharType="end"/>
            </w:r>
          </w:hyperlink>
        </w:p>
        <w:p w14:paraId="1C7D45B7" w14:textId="775A07D1"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7" w:history="1">
            <w:r w:rsidRPr="00845877">
              <w:rPr>
                <w:rStyle w:val="Hyperlink"/>
                <w:noProof/>
              </w:rPr>
              <w:t>3.2.4</w:t>
            </w:r>
            <w:r>
              <w:rPr>
                <w:rFonts w:eastAsiaTheme="minorEastAsia" w:cstheme="minorBidi"/>
                <w:noProof/>
                <w:kern w:val="2"/>
                <w:sz w:val="24"/>
                <w:szCs w:val="24"/>
                <w14:ligatures w14:val="standardContextual"/>
              </w:rPr>
              <w:tab/>
            </w:r>
            <w:r w:rsidRPr="00845877">
              <w:rPr>
                <w:rStyle w:val="Hyperlink"/>
                <w:noProof/>
              </w:rPr>
              <w:t>Nigeria’s eID</w:t>
            </w:r>
            <w:r>
              <w:rPr>
                <w:noProof/>
                <w:webHidden/>
              </w:rPr>
              <w:tab/>
            </w:r>
            <w:r>
              <w:rPr>
                <w:noProof/>
                <w:webHidden/>
              </w:rPr>
              <w:fldChar w:fldCharType="begin"/>
            </w:r>
            <w:r>
              <w:rPr>
                <w:noProof/>
                <w:webHidden/>
              </w:rPr>
              <w:instrText xml:space="preserve"> PAGEREF _Toc134081057 \h </w:instrText>
            </w:r>
            <w:r>
              <w:rPr>
                <w:noProof/>
                <w:webHidden/>
              </w:rPr>
            </w:r>
            <w:r>
              <w:rPr>
                <w:noProof/>
                <w:webHidden/>
              </w:rPr>
              <w:fldChar w:fldCharType="separate"/>
            </w:r>
            <w:r>
              <w:rPr>
                <w:noProof/>
                <w:webHidden/>
              </w:rPr>
              <w:t>18</w:t>
            </w:r>
            <w:r>
              <w:rPr>
                <w:noProof/>
                <w:webHidden/>
              </w:rPr>
              <w:fldChar w:fldCharType="end"/>
            </w:r>
          </w:hyperlink>
        </w:p>
        <w:p w14:paraId="0CE82FFC" w14:textId="606D7698"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8" w:history="1">
            <w:r w:rsidRPr="00845877">
              <w:rPr>
                <w:rStyle w:val="Hyperlink"/>
                <w:noProof/>
              </w:rPr>
              <w:t>3.2.5</w:t>
            </w:r>
            <w:r>
              <w:rPr>
                <w:rFonts w:eastAsiaTheme="minorEastAsia" w:cstheme="minorBidi"/>
                <w:noProof/>
                <w:kern w:val="2"/>
                <w:sz w:val="24"/>
                <w:szCs w:val="24"/>
                <w14:ligatures w14:val="standardContextual"/>
              </w:rPr>
              <w:tab/>
            </w:r>
            <w:r w:rsidRPr="00845877">
              <w:rPr>
                <w:rStyle w:val="Hyperlink"/>
                <w:noProof/>
              </w:rPr>
              <w:t>Singapore’s Singpass</w:t>
            </w:r>
            <w:r>
              <w:rPr>
                <w:noProof/>
                <w:webHidden/>
              </w:rPr>
              <w:tab/>
            </w:r>
            <w:r>
              <w:rPr>
                <w:noProof/>
                <w:webHidden/>
              </w:rPr>
              <w:fldChar w:fldCharType="begin"/>
            </w:r>
            <w:r>
              <w:rPr>
                <w:noProof/>
                <w:webHidden/>
              </w:rPr>
              <w:instrText xml:space="preserve"> PAGEREF _Toc134081058 \h </w:instrText>
            </w:r>
            <w:r>
              <w:rPr>
                <w:noProof/>
                <w:webHidden/>
              </w:rPr>
            </w:r>
            <w:r>
              <w:rPr>
                <w:noProof/>
                <w:webHidden/>
              </w:rPr>
              <w:fldChar w:fldCharType="separate"/>
            </w:r>
            <w:r>
              <w:rPr>
                <w:noProof/>
                <w:webHidden/>
              </w:rPr>
              <w:t>19</w:t>
            </w:r>
            <w:r>
              <w:rPr>
                <w:noProof/>
                <w:webHidden/>
              </w:rPr>
              <w:fldChar w:fldCharType="end"/>
            </w:r>
          </w:hyperlink>
        </w:p>
        <w:p w14:paraId="42859A5B" w14:textId="1D8A9F1A"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59" w:history="1">
            <w:r w:rsidRPr="00845877">
              <w:rPr>
                <w:rStyle w:val="Hyperlink"/>
                <w:noProof/>
              </w:rPr>
              <w:t>3.2.6</w:t>
            </w:r>
            <w:r>
              <w:rPr>
                <w:rFonts w:eastAsiaTheme="minorEastAsia" w:cstheme="minorBidi"/>
                <w:noProof/>
                <w:kern w:val="2"/>
                <w:sz w:val="24"/>
                <w:szCs w:val="24"/>
                <w14:ligatures w14:val="standardContextual"/>
              </w:rPr>
              <w:tab/>
            </w:r>
            <w:r w:rsidRPr="00845877">
              <w:rPr>
                <w:rStyle w:val="Hyperlink"/>
                <w:noProof/>
              </w:rPr>
              <w:t>U.S. State Implementations</w:t>
            </w:r>
            <w:r>
              <w:rPr>
                <w:noProof/>
                <w:webHidden/>
              </w:rPr>
              <w:tab/>
            </w:r>
            <w:r>
              <w:rPr>
                <w:noProof/>
                <w:webHidden/>
              </w:rPr>
              <w:fldChar w:fldCharType="begin"/>
            </w:r>
            <w:r>
              <w:rPr>
                <w:noProof/>
                <w:webHidden/>
              </w:rPr>
              <w:instrText xml:space="preserve"> PAGEREF _Toc134081059 \h </w:instrText>
            </w:r>
            <w:r>
              <w:rPr>
                <w:noProof/>
                <w:webHidden/>
              </w:rPr>
            </w:r>
            <w:r>
              <w:rPr>
                <w:noProof/>
                <w:webHidden/>
              </w:rPr>
              <w:fldChar w:fldCharType="separate"/>
            </w:r>
            <w:r>
              <w:rPr>
                <w:noProof/>
                <w:webHidden/>
              </w:rPr>
              <w:t>21</w:t>
            </w:r>
            <w:r>
              <w:rPr>
                <w:noProof/>
                <w:webHidden/>
              </w:rPr>
              <w:fldChar w:fldCharType="end"/>
            </w:r>
          </w:hyperlink>
        </w:p>
        <w:p w14:paraId="1A7F7DA9" w14:textId="5C0B7650"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0" w:history="1">
            <w:r w:rsidRPr="00845877">
              <w:rPr>
                <w:rStyle w:val="Hyperlink"/>
                <w:noProof/>
              </w:rPr>
              <w:t>3.2.7</w:t>
            </w:r>
            <w:r>
              <w:rPr>
                <w:rFonts w:eastAsiaTheme="minorEastAsia" w:cstheme="minorBidi"/>
                <w:noProof/>
                <w:kern w:val="2"/>
                <w:sz w:val="24"/>
                <w:szCs w:val="24"/>
                <w14:ligatures w14:val="standardContextual"/>
              </w:rPr>
              <w:tab/>
            </w:r>
            <w:r w:rsidRPr="00845877">
              <w:rPr>
                <w:rStyle w:val="Hyperlink"/>
                <w:noProof/>
              </w:rPr>
              <w:t>Summary</w:t>
            </w:r>
            <w:r>
              <w:rPr>
                <w:noProof/>
                <w:webHidden/>
              </w:rPr>
              <w:tab/>
            </w:r>
            <w:r>
              <w:rPr>
                <w:noProof/>
                <w:webHidden/>
              </w:rPr>
              <w:fldChar w:fldCharType="begin"/>
            </w:r>
            <w:r>
              <w:rPr>
                <w:noProof/>
                <w:webHidden/>
              </w:rPr>
              <w:instrText xml:space="preserve"> PAGEREF _Toc134081060 \h </w:instrText>
            </w:r>
            <w:r>
              <w:rPr>
                <w:noProof/>
                <w:webHidden/>
              </w:rPr>
            </w:r>
            <w:r>
              <w:rPr>
                <w:noProof/>
                <w:webHidden/>
              </w:rPr>
              <w:fldChar w:fldCharType="separate"/>
            </w:r>
            <w:r>
              <w:rPr>
                <w:noProof/>
                <w:webHidden/>
              </w:rPr>
              <w:t>24</w:t>
            </w:r>
            <w:r>
              <w:rPr>
                <w:noProof/>
                <w:webHidden/>
              </w:rPr>
              <w:fldChar w:fldCharType="end"/>
            </w:r>
          </w:hyperlink>
        </w:p>
        <w:p w14:paraId="280485C0" w14:textId="7F8389E8"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61" w:history="1">
            <w:r w:rsidRPr="00845877">
              <w:rPr>
                <w:rStyle w:val="Hyperlink"/>
                <w:noProof/>
              </w:rPr>
              <w:t>3.3</w:t>
            </w:r>
            <w:r>
              <w:rPr>
                <w:rFonts w:eastAsiaTheme="minorEastAsia" w:cstheme="minorBidi"/>
                <w:b w:val="0"/>
                <w:bCs w:val="0"/>
                <w:noProof/>
                <w:kern w:val="2"/>
                <w:sz w:val="24"/>
                <w:szCs w:val="24"/>
                <w14:ligatures w14:val="standardContextual"/>
              </w:rPr>
              <w:tab/>
            </w:r>
            <w:r w:rsidRPr="00845877">
              <w:rPr>
                <w:rStyle w:val="Hyperlink"/>
                <w:noProof/>
              </w:rPr>
              <w:t>Technological Diversity and Capability</w:t>
            </w:r>
            <w:r>
              <w:rPr>
                <w:noProof/>
                <w:webHidden/>
              </w:rPr>
              <w:tab/>
            </w:r>
            <w:r>
              <w:rPr>
                <w:noProof/>
                <w:webHidden/>
              </w:rPr>
              <w:fldChar w:fldCharType="begin"/>
            </w:r>
            <w:r>
              <w:rPr>
                <w:noProof/>
                <w:webHidden/>
              </w:rPr>
              <w:instrText xml:space="preserve"> PAGEREF _Toc134081061 \h </w:instrText>
            </w:r>
            <w:r>
              <w:rPr>
                <w:noProof/>
                <w:webHidden/>
              </w:rPr>
            </w:r>
            <w:r>
              <w:rPr>
                <w:noProof/>
                <w:webHidden/>
              </w:rPr>
              <w:fldChar w:fldCharType="separate"/>
            </w:r>
            <w:r>
              <w:rPr>
                <w:noProof/>
                <w:webHidden/>
              </w:rPr>
              <w:t>27</w:t>
            </w:r>
            <w:r>
              <w:rPr>
                <w:noProof/>
                <w:webHidden/>
              </w:rPr>
              <w:fldChar w:fldCharType="end"/>
            </w:r>
          </w:hyperlink>
        </w:p>
        <w:p w14:paraId="508BE9EB" w14:textId="2653B34F"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2" w:history="1">
            <w:r w:rsidRPr="00845877">
              <w:rPr>
                <w:rStyle w:val="Hyperlink"/>
                <w:noProof/>
              </w:rPr>
              <w:t>3.3.1</w:t>
            </w:r>
            <w:r>
              <w:rPr>
                <w:rFonts w:eastAsiaTheme="minorEastAsia" w:cstheme="minorBidi"/>
                <w:noProof/>
                <w:kern w:val="2"/>
                <w:sz w:val="24"/>
                <w:szCs w:val="24"/>
                <w14:ligatures w14:val="standardContextual"/>
              </w:rPr>
              <w:tab/>
            </w:r>
            <w:r w:rsidRPr="00845877">
              <w:rPr>
                <w:rStyle w:val="Hyperlink"/>
                <w:noProof/>
              </w:rPr>
              <w:t>The Technology Behind Digital Credentials</w:t>
            </w:r>
            <w:r>
              <w:rPr>
                <w:noProof/>
                <w:webHidden/>
              </w:rPr>
              <w:tab/>
            </w:r>
            <w:r>
              <w:rPr>
                <w:noProof/>
                <w:webHidden/>
              </w:rPr>
              <w:fldChar w:fldCharType="begin"/>
            </w:r>
            <w:r>
              <w:rPr>
                <w:noProof/>
                <w:webHidden/>
              </w:rPr>
              <w:instrText xml:space="preserve"> PAGEREF _Toc134081062 \h </w:instrText>
            </w:r>
            <w:r>
              <w:rPr>
                <w:noProof/>
                <w:webHidden/>
              </w:rPr>
            </w:r>
            <w:r>
              <w:rPr>
                <w:noProof/>
                <w:webHidden/>
              </w:rPr>
              <w:fldChar w:fldCharType="separate"/>
            </w:r>
            <w:r>
              <w:rPr>
                <w:noProof/>
                <w:webHidden/>
              </w:rPr>
              <w:t>28</w:t>
            </w:r>
            <w:r>
              <w:rPr>
                <w:noProof/>
                <w:webHidden/>
              </w:rPr>
              <w:fldChar w:fldCharType="end"/>
            </w:r>
          </w:hyperlink>
        </w:p>
        <w:p w14:paraId="2299CE0A" w14:textId="0C0045B7"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3" w:history="1">
            <w:r w:rsidRPr="00845877">
              <w:rPr>
                <w:rStyle w:val="Hyperlink"/>
                <w:noProof/>
              </w:rPr>
              <w:t>3.3.2</w:t>
            </w:r>
            <w:r>
              <w:rPr>
                <w:rFonts w:eastAsiaTheme="minorEastAsia" w:cstheme="minorBidi"/>
                <w:noProof/>
                <w:kern w:val="2"/>
                <w:sz w:val="24"/>
                <w:szCs w:val="24"/>
                <w14:ligatures w14:val="standardContextual"/>
              </w:rPr>
              <w:tab/>
            </w:r>
            <w:r w:rsidRPr="00845877">
              <w:rPr>
                <w:rStyle w:val="Hyperlink"/>
                <w:noProof/>
              </w:rPr>
              <w:t>The Standards Behind Biometrics</w:t>
            </w:r>
            <w:r>
              <w:rPr>
                <w:noProof/>
                <w:webHidden/>
              </w:rPr>
              <w:tab/>
            </w:r>
            <w:r>
              <w:rPr>
                <w:noProof/>
                <w:webHidden/>
              </w:rPr>
              <w:fldChar w:fldCharType="begin"/>
            </w:r>
            <w:r>
              <w:rPr>
                <w:noProof/>
                <w:webHidden/>
              </w:rPr>
              <w:instrText xml:space="preserve"> PAGEREF _Toc134081063 \h </w:instrText>
            </w:r>
            <w:r>
              <w:rPr>
                <w:noProof/>
                <w:webHidden/>
              </w:rPr>
            </w:r>
            <w:r>
              <w:rPr>
                <w:noProof/>
                <w:webHidden/>
              </w:rPr>
              <w:fldChar w:fldCharType="separate"/>
            </w:r>
            <w:r>
              <w:rPr>
                <w:noProof/>
                <w:webHidden/>
              </w:rPr>
              <w:t>36</w:t>
            </w:r>
            <w:r>
              <w:rPr>
                <w:noProof/>
                <w:webHidden/>
              </w:rPr>
              <w:fldChar w:fldCharType="end"/>
            </w:r>
          </w:hyperlink>
        </w:p>
        <w:p w14:paraId="01821E2B" w14:textId="4B1D3A22"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4" w:history="1">
            <w:r w:rsidRPr="00845877">
              <w:rPr>
                <w:rStyle w:val="Hyperlink"/>
                <w:noProof/>
              </w:rPr>
              <w:t>3.3.3</w:t>
            </w:r>
            <w:r>
              <w:rPr>
                <w:rFonts w:eastAsiaTheme="minorEastAsia" w:cstheme="minorBidi"/>
                <w:noProof/>
                <w:kern w:val="2"/>
                <w:sz w:val="24"/>
                <w:szCs w:val="24"/>
                <w14:ligatures w14:val="standardContextual"/>
              </w:rPr>
              <w:tab/>
            </w:r>
            <w:r w:rsidRPr="00845877">
              <w:rPr>
                <w:rStyle w:val="Hyperlink"/>
                <w:noProof/>
              </w:rPr>
              <w:t>Identity Assurance</w:t>
            </w:r>
            <w:r>
              <w:rPr>
                <w:noProof/>
                <w:webHidden/>
              </w:rPr>
              <w:tab/>
            </w:r>
            <w:r>
              <w:rPr>
                <w:noProof/>
                <w:webHidden/>
              </w:rPr>
              <w:fldChar w:fldCharType="begin"/>
            </w:r>
            <w:r>
              <w:rPr>
                <w:noProof/>
                <w:webHidden/>
              </w:rPr>
              <w:instrText xml:space="preserve"> PAGEREF _Toc134081064 \h </w:instrText>
            </w:r>
            <w:r>
              <w:rPr>
                <w:noProof/>
                <w:webHidden/>
              </w:rPr>
            </w:r>
            <w:r>
              <w:rPr>
                <w:noProof/>
                <w:webHidden/>
              </w:rPr>
              <w:fldChar w:fldCharType="separate"/>
            </w:r>
            <w:r>
              <w:rPr>
                <w:noProof/>
                <w:webHidden/>
              </w:rPr>
              <w:t>38</w:t>
            </w:r>
            <w:r>
              <w:rPr>
                <w:noProof/>
                <w:webHidden/>
              </w:rPr>
              <w:fldChar w:fldCharType="end"/>
            </w:r>
          </w:hyperlink>
        </w:p>
        <w:p w14:paraId="77CC0480" w14:textId="3E57D8E8"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5" w:history="1">
            <w:r w:rsidRPr="00845877">
              <w:rPr>
                <w:rStyle w:val="Hyperlink"/>
                <w:noProof/>
              </w:rPr>
              <w:t>3.3.4</w:t>
            </w:r>
            <w:r>
              <w:rPr>
                <w:rFonts w:eastAsiaTheme="minorEastAsia" w:cstheme="minorBidi"/>
                <w:noProof/>
                <w:kern w:val="2"/>
                <w:sz w:val="24"/>
                <w:szCs w:val="24"/>
                <w14:ligatures w14:val="standardContextual"/>
              </w:rPr>
              <w:tab/>
            </w:r>
            <w:r w:rsidRPr="00845877">
              <w:rPr>
                <w:rStyle w:val="Hyperlink"/>
                <w:noProof/>
              </w:rPr>
              <w:t>Open Standard Identity APIs (OSIA)</w:t>
            </w:r>
            <w:r>
              <w:rPr>
                <w:noProof/>
                <w:webHidden/>
              </w:rPr>
              <w:tab/>
            </w:r>
            <w:r>
              <w:rPr>
                <w:noProof/>
                <w:webHidden/>
              </w:rPr>
              <w:fldChar w:fldCharType="begin"/>
            </w:r>
            <w:r>
              <w:rPr>
                <w:noProof/>
                <w:webHidden/>
              </w:rPr>
              <w:instrText xml:space="preserve"> PAGEREF _Toc134081065 \h </w:instrText>
            </w:r>
            <w:r>
              <w:rPr>
                <w:noProof/>
                <w:webHidden/>
              </w:rPr>
            </w:r>
            <w:r>
              <w:rPr>
                <w:noProof/>
                <w:webHidden/>
              </w:rPr>
              <w:fldChar w:fldCharType="separate"/>
            </w:r>
            <w:r>
              <w:rPr>
                <w:noProof/>
                <w:webHidden/>
              </w:rPr>
              <w:t>39</w:t>
            </w:r>
            <w:r>
              <w:rPr>
                <w:noProof/>
                <w:webHidden/>
              </w:rPr>
              <w:fldChar w:fldCharType="end"/>
            </w:r>
          </w:hyperlink>
        </w:p>
        <w:p w14:paraId="68D59B22" w14:textId="023C0625"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066" w:history="1">
            <w:r w:rsidRPr="00845877">
              <w:rPr>
                <w:rStyle w:val="Hyperlink"/>
                <w:noProof/>
              </w:rPr>
              <w:t>4</w:t>
            </w:r>
            <w:r>
              <w:rPr>
                <w:rFonts w:eastAsiaTheme="minorEastAsia" w:cstheme="minorBidi"/>
                <w:b w:val="0"/>
                <w:bCs w:val="0"/>
                <w:i w:val="0"/>
                <w:iCs w:val="0"/>
                <w:noProof/>
                <w:kern w:val="2"/>
                <w14:ligatures w14:val="standardContextual"/>
              </w:rPr>
              <w:tab/>
            </w:r>
            <w:r w:rsidRPr="00845877">
              <w:rPr>
                <w:rStyle w:val="Hyperlink"/>
                <w:noProof/>
              </w:rPr>
              <w:t>Gaps and Risks</w:t>
            </w:r>
            <w:r>
              <w:rPr>
                <w:noProof/>
                <w:webHidden/>
              </w:rPr>
              <w:tab/>
            </w:r>
            <w:r>
              <w:rPr>
                <w:noProof/>
                <w:webHidden/>
              </w:rPr>
              <w:fldChar w:fldCharType="begin"/>
            </w:r>
            <w:r>
              <w:rPr>
                <w:noProof/>
                <w:webHidden/>
              </w:rPr>
              <w:instrText xml:space="preserve"> PAGEREF _Toc134081066 \h </w:instrText>
            </w:r>
            <w:r>
              <w:rPr>
                <w:noProof/>
                <w:webHidden/>
              </w:rPr>
            </w:r>
            <w:r>
              <w:rPr>
                <w:noProof/>
                <w:webHidden/>
              </w:rPr>
              <w:fldChar w:fldCharType="separate"/>
            </w:r>
            <w:r>
              <w:rPr>
                <w:noProof/>
                <w:webHidden/>
              </w:rPr>
              <w:t>42</w:t>
            </w:r>
            <w:r>
              <w:rPr>
                <w:noProof/>
                <w:webHidden/>
              </w:rPr>
              <w:fldChar w:fldCharType="end"/>
            </w:r>
          </w:hyperlink>
        </w:p>
        <w:p w14:paraId="65AD5DA9" w14:textId="605863EA"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67" w:history="1">
            <w:r w:rsidRPr="00845877">
              <w:rPr>
                <w:rStyle w:val="Hyperlink"/>
                <w:noProof/>
              </w:rPr>
              <w:t>4.1</w:t>
            </w:r>
            <w:r>
              <w:rPr>
                <w:rFonts w:eastAsiaTheme="minorEastAsia" w:cstheme="minorBidi"/>
                <w:b w:val="0"/>
                <w:bCs w:val="0"/>
                <w:noProof/>
                <w:kern w:val="2"/>
                <w:sz w:val="24"/>
                <w:szCs w:val="24"/>
                <w14:ligatures w14:val="standardContextual"/>
              </w:rPr>
              <w:tab/>
            </w:r>
            <w:r w:rsidRPr="00845877">
              <w:rPr>
                <w:rStyle w:val="Hyperlink"/>
                <w:noProof/>
              </w:rPr>
              <w:t>Recognizing Motivations at Scale</w:t>
            </w:r>
            <w:r>
              <w:rPr>
                <w:noProof/>
                <w:webHidden/>
              </w:rPr>
              <w:tab/>
            </w:r>
            <w:r>
              <w:rPr>
                <w:noProof/>
                <w:webHidden/>
              </w:rPr>
              <w:fldChar w:fldCharType="begin"/>
            </w:r>
            <w:r>
              <w:rPr>
                <w:noProof/>
                <w:webHidden/>
              </w:rPr>
              <w:instrText xml:space="preserve"> PAGEREF _Toc134081067 \h </w:instrText>
            </w:r>
            <w:r>
              <w:rPr>
                <w:noProof/>
                <w:webHidden/>
              </w:rPr>
            </w:r>
            <w:r>
              <w:rPr>
                <w:noProof/>
                <w:webHidden/>
              </w:rPr>
              <w:fldChar w:fldCharType="separate"/>
            </w:r>
            <w:r>
              <w:rPr>
                <w:noProof/>
                <w:webHidden/>
              </w:rPr>
              <w:t>42</w:t>
            </w:r>
            <w:r>
              <w:rPr>
                <w:noProof/>
                <w:webHidden/>
              </w:rPr>
              <w:fldChar w:fldCharType="end"/>
            </w:r>
          </w:hyperlink>
        </w:p>
        <w:p w14:paraId="46EF1554" w14:textId="42472A1C"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68" w:history="1">
            <w:r w:rsidRPr="00845877">
              <w:rPr>
                <w:rStyle w:val="Hyperlink"/>
                <w:noProof/>
              </w:rPr>
              <w:t>4.1.1</w:t>
            </w:r>
            <w:r>
              <w:rPr>
                <w:rFonts w:eastAsiaTheme="minorEastAsia" w:cstheme="minorBidi"/>
                <w:noProof/>
                <w:kern w:val="2"/>
                <w:sz w:val="24"/>
                <w:szCs w:val="24"/>
                <w14:ligatures w14:val="standardContextual"/>
              </w:rPr>
              <w:tab/>
            </w:r>
            <w:r w:rsidRPr="00845877">
              <w:rPr>
                <w:rStyle w:val="Hyperlink"/>
                <w:noProof/>
              </w:rPr>
              <w:t>Hyper-local Expectations</w:t>
            </w:r>
            <w:r>
              <w:rPr>
                <w:noProof/>
                <w:webHidden/>
              </w:rPr>
              <w:tab/>
            </w:r>
            <w:r>
              <w:rPr>
                <w:noProof/>
                <w:webHidden/>
              </w:rPr>
              <w:fldChar w:fldCharType="begin"/>
            </w:r>
            <w:r>
              <w:rPr>
                <w:noProof/>
                <w:webHidden/>
              </w:rPr>
              <w:instrText xml:space="preserve"> PAGEREF _Toc134081068 \h </w:instrText>
            </w:r>
            <w:r>
              <w:rPr>
                <w:noProof/>
                <w:webHidden/>
              </w:rPr>
            </w:r>
            <w:r>
              <w:rPr>
                <w:noProof/>
                <w:webHidden/>
              </w:rPr>
              <w:fldChar w:fldCharType="separate"/>
            </w:r>
            <w:r>
              <w:rPr>
                <w:noProof/>
                <w:webHidden/>
              </w:rPr>
              <w:t>43</w:t>
            </w:r>
            <w:r>
              <w:rPr>
                <w:noProof/>
                <w:webHidden/>
              </w:rPr>
              <w:fldChar w:fldCharType="end"/>
            </w:r>
          </w:hyperlink>
        </w:p>
        <w:p w14:paraId="5D1217CC" w14:textId="58C0F767"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69" w:history="1">
            <w:r w:rsidRPr="00845877">
              <w:rPr>
                <w:rStyle w:val="Hyperlink"/>
                <w:noProof/>
              </w:rPr>
              <w:t>4.2</w:t>
            </w:r>
            <w:r>
              <w:rPr>
                <w:rFonts w:eastAsiaTheme="minorEastAsia" w:cstheme="minorBidi"/>
                <w:b w:val="0"/>
                <w:bCs w:val="0"/>
                <w:noProof/>
                <w:kern w:val="2"/>
                <w:sz w:val="24"/>
                <w:szCs w:val="24"/>
                <w14:ligatures w14:val="standardContextual"/>
              </w:rPr>
              <w:tab/>
            </w:r>
            <w:r w:rsidRPr="00845877">
              <w:rPr>
                <w:rStyle w:val="Hyperlink"/>
                <w:noProof/>
              </w:rPr>
              <w:t>The Limits of Technology</w:t>
            </w:r>
            <w:r>
              <w:rPr>
                <w:noProof/>
                <w:webHidden/>
              </w:rPr>
              <w:tab/>
            </w:r>
            <w:r>
              <w:rPr>
                <w:noProof/>
                <w:webHidden/>
              </w:rPr>
              <w:fldChar w:fldCharType="begin"/>
            </w:r>
            <w:r>
              <w:rPr>
                <w:noProof/>
                <w:webHidden/>
              </w:rPr>
              <w:instrText xml:space="preserve"> PAGEREF _Toc134081069 \h </w:instrText>
            </w:r>
            <w:r>
              <w:rPr>
                <w:noProof/>
                <w:webHidden/>
              </w:rPr>
            </w:r>
            <w:r>
              <w:rPr>
                <w:noProof/>
                <w:webHidden/>
              </w:rPr>
              <w:fldChar w:fldCharType="separate"/>
            </w:r>
            <w:r>
              <w:rPr>
                <w:noProof/>
                <w:webHidden/>
              </w:rPr>
              <w:t>43</w:t>
            </w:r>
            <w:r>
              <w:rPr>
                <w:noProof/>
                <w:webHidden/>
              </w:rPr>
              <w:fldChar w:fldCharType="end"/>
            </w:r>
          </w:hyperlink>
        </w:p>
        <w:p w14:paraId="1A27D69C" w14:textId="7A9F41AB"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0" w:history="1">
            <w:r w:rsidRPr="00845877">
              <w:rPr>
                <w:rStyle w:val="Hyperlink"/>
                <w:noProof/>
              </w:rPr>
              <w:t>4.2.1</w:t>
            </w:r>
            <w:r>
              <w:rPr>
                <w:rFonts w:eastAsiaTheme="minorEastAsia" w:cstheme="minorBidi"/>
                <w:noProof/>
                <w:kern w:val="2"/>
                <w:sz w:val="24"/>
                <w:szCs w:val="24"/>
                <w14:ligatures w14:val="standardContextual"/>
              </w:rPr>
              <w:tab/>
            </w:r>
            <w:r w:rsidRPr="00845877">
              <w:rPr>
                <w:rStyle w:val="Hyperlink"/>
                <w:noProof/>
              </w:rPr>
              <w:t>Intrinsic Limitations of Protocols</w:t>
            </w:r>
            <w:r>
              <w:rPr>
                <w:noProof/>
                <w:webHidden/>
              </w:rPr>
              <w:tab/>
            </w:r>
            <w:r>
              <w:rPr>
                <w:noProof/>
                <w:webHidden/>
              </w:rPr>
              <w:fldChar w:fldCharType="begin"/>
            </w:r>
            <w:r>
              <w:rPr>
                <w:noProof/>
                <w:webHidden/>
              </w:rPr>
              <w:instrText xml:space="preserve"> PAGEREF _Toc134081070 \h </w:instrText>
            </w:r>
            <w:r>
              <w:rPr>
                <w:noProof/>
                <w:webHidden/>
              </w:rPr>
            </w:r>
            <w:r>
              <w:rPr>
                <w:noProof/>
                <w:webHidden/>
              </w:rPr>
              <w:fldChar w:fldCharType="separate"/>
            </w:r>
            <w:r>
              <w:rPr>
                <w:noProof/>
                <w:webHidden/>
              </w:rPr>
              <w:t>44</w:t>
            </w:r>
            <w:r>
              <w:rPr>
                <w:noProof/>
                <w:webHidden/>
              </w:rPr>
              <w:fldChar w:fldCharType="end"/>
            </w:r>
          </w:hyperlink>
        </w:p>
        <w:p w14:paraId="0560EEED" w14:textId="3E2B9A72"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1" w:history="1">
            <w:r w:rsidRPr="00845877">
              <w:rPr>
                <w:rStyle w:val="Hyperlink"/>
                <w:noProof/>
              </w:rPr>
              <w:t>4.2.2</w:t>
            </w:r>
            <w:r>
              <w:rPr>
                <w:rFonts w:eastAsiaTheme="minorEastAsia" w:cstheme="minorBidi"/>
                <w:noProof/>
                <w:kern w:val="2"/>
                <w:sz w:val="24"/>
                <w:szCs w:val="24"/>
                <w14:ligatures w14:val="standardContextual"/>
              </w:rPr>
              <w:tab/>
            </w:r>
            <w:r w:rsidRPr="00845877">
              <w:rPr>
                <w:rStyle w:val="Hyperlink"/>
                <w:noProof/>
              </w:rPr>
              <w:t>Biometrics Technologies</w:t>
            </w:r>
            <w:r>
              <w:rPr>
                <w:noProof/>
                <w:webHidden/>
              </w:rPr>
              <w:tab/>
            </w:r>
            <w:r>
              <w:rPr>
                <w:noProof/>
                <w:webHidden/>
              </w:rPr>
              <w:fldChar w:fldCharType="begin"/>
            </w:r>
            <w:r>
              <w:rPr>
                <w:noProof/>
                <w:webHidden/>
              </w:rPr>
              <w:instrText xml:space="preserve"> PAGEREF _Toc134081071 \h </w:instrText>
            </w:r>
            <w:r>
              <w:rPr>
                <w:noProof/>
                <w:webHidden/>
              </w:rPr>
            </w:r>
            <w:r>
              <w:rPr>
                <w:noProof/>
                <w:webHidden/>
              </w:rPr>
              <w:fldChar w:fldCharType="separate"/>
            </w:r>
            <w:r>
              <w:rPr>
                <w:noProof/>
                <w:webHidden/>
              </w:rPr>
              <w:t>44</w:t>
            </w:r>
            <w:r>
              <w:rPr>
                <w:noProof/>
                <w:webHidden/>
              </w:rPr>
              <w:fldChar w:fldCharType="end"/>
            </w:r>
          </w:hyperlink>
        </w:p>
        <w:p w14:paraId="72BA9BD0" w14:textId="7343843D"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2" w:history="1">
            <w:r w:rsidRPr="00845877">
              <w:rPr>
                <w:rStyle w:val="Hyperlink"/>
                <w:noProof/>
              </w:rPr>
              <w:t>4.2.3</w:t>
            </w:r>
            <w:r>
              <w:rPr>
                <w:rFonts w:eastAsiaTheme="minorEastAsia" w:cstheme="minorBidi"/>
                <w:noProof/>
                <w:kern w:val="2"/>
                <w:sz w:val="24"/>
                <w:szCs w:val="24"/>
                <w14:ligatures w14:val="standardContextual"/>
              </w:rPr>
              <w:tab/>
            </w:r>
            <w:r w:rsidRPr="00845877">
              <w:rPr>
                <w:rStyle w:val="Hyperlink"/>
                <w:noProof/>
              </w:rPr>
              <w:t>The Protocols of Authentication and Authorization</w:t>
            </w:r>
            <w:r>
              <w:rPr>
                <w:noProof/>
                <w:webHidden/>
              </w:rPr>
              <w:tab/>
            </w:r>
            <w:r>
              <w:rPr>
                <w:noProof/>
                <w:webHidden/>
              </w:rPr>
              <w:fldChar w:fldCharType="begin"/>
            </w:r>
            <w:r>
              <w:rPr>
                <w:noProof/>
                <w:webHidden/>
              </w:rPr>
              <w:instrText xml:space="preserve"> PAGEREF _Toc134081072 \h </w:instrText>
            </w:r>
            <w:r>
              <w:rPr>
                <w:noProof/>
                <w:webHidden/>
              </w:rPr>
            </w:r>
            <w:r>
              <w:rPr>
                <w:noProof/>
                <w:webHidden/>
              </w:rPr>
              <w:fldChar w:fldCharType="separate"/>
            </w:r>
            <w:r>
              <w:rPr>
                <w:noProof/>
                <w:webHidden/>
              </w:rPr>
              <w:t>46</w:t>
            </w:r>
            <w:r>
              <w:rPr>
                <w:noProof/>
                <w:webHidden/>
              </w:rPr>
              <w:fldChar w:fldCharType="end"/>
            </w:r>
          </w:hyperlink>
        </w:p>
        <w:p w14:paraId="7BF870B9" w14:textId="46EDE94D"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3" w:history="1">
            <w:r w:rsidRPr="00845877">
              <w:rPr>
                <w:rStyle w:val="Hyperlink"/>
                <w:noProof/>
              </w:rPr>
              <w:t>4.2.4</w:t>
            </w:r>
            <w:r>
              <w:rPr>
                <w:rFonts w:eastAsiaTheme="minorEastAsia" w:cstheme="minorBidi"/>
                <w:noProof/>
                <w:kern w:val="2"/>
                <w:sz w:val="24"/>
                <w:szCs w:val="24"/>
                <w14:ligatures w14:val="standardContextual"/>
              </w:rPr>
              <w:tab/>
            </w:r>
            <w:r w:rsidRPr="00845877">
              <w:rPr>
                <w:rStyle w:val="Hyperlink"/>
                <w:noProof/>
              </w:rPr>
              <w:t>Fast IDentity Online (FIDO)</w:t>
            </w:r>
            <w:r>
              <w:rPr>
                <w:noProof/>
                <w:webHidden/>
              </w:rPr>
              <w:tab/>
            </w:r>
            <w:r>
              <w:rPr>
                <w:noProof/>
                <w:webHidden/>
              </w:rPr>
              <w:fldChar w:fldCharType="begin"/>
            </w:r>
            <w:r>
              <w:rPr>
                <w:noProof/>
                <w:webHidden/>
              </w:rPr>
              <w:instrText xml:space="preserve"> PAGEREF _Toc134081073 \h </w:instrText>
            </w:r>
            <w:r>
              <w:rPr>
                <w:noProof/>
                <w:webHidden/>
              </w:rPr>
            </w:r>
            <w:r>
              <w:rPr>
                <w:noProof/>
                <w:webHidden/>
              </w:rPr>
              <w:fldChar w:fldCharType="separate"/>
            </w:r>
            <w:r>
              <w:rPr>
                <w:noProof/>
                <w:webHidden/>
              </w:rPr>
              <w:t>47</w:t>
            </w:r>
            <w:r>
              <w:rPr>
                <w:noProof/>
                <w:webHidden/>
              </w:rPr>
              <w:fldChar w:fldCharType="end"/>
            </w:r>
          </w:hyperlink>
        </w:p>
        <w:p w14:paraId="05095449" w14:textId="6B9EA106"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4" w:history="1">
            <w:r w:rsidRPr="00845877">
              <w:rPr>
                <w:rStyle w:val="Hyperlink"/>
                <w:noProof/>
              </w:rPr>
              <w:t>4.2.5</w:t>
            </w:r>
            <w:r>
              <w:rPr>
                <w:rFonts w:eastAsiaTheme="minorEastAsia" w:cstheme="minorBidi"/>
                <w:noProof/>
                <w:kern w:val="2"/>
                <w:sz w:val="24"/>
                <w:szCs w:val="24"/>
                <w14:ligatures w14:val="standardContextual"/>
              </w:rPr>
              <w:tab/>
            </w:r>
            <w:r w:rsidRPr="00845877">
              <w:rPr>
                <w:rStyle w:val="Hyperlink"/>
                <w:noProof/>
              </w:rPr>
              <w:t>Verifying Data</w:t>
            </w:r>
            <w:r>
              <w:rPr>
                <w:noProof/>
                <w:webHidden/>
              </w:rPr>
              <w:tab/>
            </w:r>
            <w:r>
              <w:rPr>
                <w:noProof/>
                <w:webHidden/>
              </w:rPr>
              <w:fldChar w:fldCharType="begin"/>
            </w:r>
            <w:r>
              <w:rPr>
                <w:noProof/>
                <w:webHidden/>
              </w:rPr>
              <w:instrText xml:space="preserve"> PAGEREF _Toc134081074 \h </w:instrText>
            </w:r>
            <w:r>
              <w:rPr>
                <w:noProof/>
                <w:webHidden/>
              </w:rPr>
            </w:r>
            <w:r>
              <w:rPr>
                <w:noProof/>
                <w:webHidden/>
              </w:rPr>
              <w:fldChar w:fldCharType="separate"/>
            </w:r>
            <w:r>
              <w:rPr>
                <w:noProof/>
                <w:webHidden/>
              </w:rPr>
              <w:t>47</w:t>
            </w:r>
            <w:r>
              <w:rPr>
                <w:noProof/>
                <w:webHidden/>
              </w:rPr>
              <w:fldChar w:fldCharType="end"/>
            </w:r>
          </w:hyperlink>
        </w:p>
        <w:p w14:paraId="51F3175C" w14:textId="6D1FF3FD"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5" w:history="1">
            <w:r w:rsidRPr="00845877">
              <w:rPr>
                <w:rStyle w:val="Hyperlink"/>
                <w:noProof/>
              </w:rPr>
              <w:t>4.2.6</w:t>
            </w:r>
            <w:r>
              <w:rPr>
                <w:rFonts w:eastAsiaTheme="minorEastAsia" w:cstheme="minorBidi"/>
                <w:noProof/>
                <w:kern w:val="2"/>
                <w:sz w:val="24"/>
                <w:szCs w:val="24"/>
                <w14:ligatures w14:val="standardContextual"/>
              </w:rPr>
              <w:tab/>
            </w:r>
            <w:r w:rsidRPr="00845877">
              <w:rPr>
                <w:rStyle w:val="Hyperlink"/>
                <w:noProof/>
              </w:rPr>
              <w:t>Comparing the Policies in Technology</w:t>
            </w:r>
            <w:r>
              <w:rPr>
                <w:noProof/>
                <w:webHidden/>
              </w:rPr>
              <w:tab/>
            </w:r>
            <w:r>
              <w:rPr>
                <w:noProof/>
                <w:webHidden/>
              </w:rPr>
              <w:fldChar w:fldCharType="begin"/>
            </w:r>
            <w:r>
              <w:rPr>
                <w:noProof/>
                <w:webHidden/>
              </w:rPr>
              <w:instrText xml:space="preserve"> PAGEREF _Toc134081075 \h </w:instrText>
            </w:r>
            <w:r>
              <w:rPr>
                <w:noProof/>
                <w:webHidden/>
              </w:rPr>
            </w:r>
            <w:r>
              <w:rPr>
                <w:noProof/>
                <w:webHidden/>
              </w:rPr>
              <w:fldChar w:fldCharType="separate"/>
            </w:r>
            <w:r>
              <w:rPr>
                <w:noProof/>
                <w:webHidden/>
              </w:rPr>
              <w:t>48</w:t>
            </w:r>
            <w:r>
              <w:rPr>
                <w:noProof/>
                <w:webHidden/>
              </w:rPr>
              <w:fldChar w:fldCharType="end"/>
            </w:r>
          </w:hyperlink>
        </w:p>
        <w:p w14:paraId="75D41004" w14:textId="5CE99B1E"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6" w:history="1">
            <w:r w:rsidRPr="00845877">
              <w:rPr>
                <w:rStyle w:val="Hyperlink"/>
                <w:noProof/>
              </w:rPr>
              <w:t>4.2.7</w:t>
            </w:r>
            <w:r>
              <w:rPr>
                <w:rFonts w:eastAsiaTheme="minorEastAsia" w:cstheme="minorBidi"/>
                <w:noProof/>
                <w:kern w:val="2"/>
                <w:sz w:val="24"/>
                <w:szCs w:val="24"/>
                <w14:ligatures w14:val="standardContextual"/>
              </w:rPr>
              <w:tab/>
            </w:r>
            <w:r w:rsidRPr="00845877">
              <w:rPr>
                <w:rStyle w:val="Hyperlink"/>
                <w:noProof/>
              </w:rPr>
              <w:t>Data Correlation and Re-use</w:t>
            </w:r>
            <w:r>
              <w:rPr>
                <w:noProof/>
                <w:webHidden/>
              </w:rPr>
              <w:tab/>
            </w:r>
            <w:r>
              <w:rPr>
                <w:noProof/>
                <w:webHidden/>
              </w:rPr>
              <w:fldChar w:fldCharType="begin"/>
            </w:r>
            <w:r>
              <w:rPr>
                <w:noProof/>
                <w:webHidden/>
              </w:rPr>
              <w:instrText xml:space="preserve"> PAGEREF _Toc134081076 \h </w:instrText>
            </w:r>
            <w:r>
              <w:rPr>
                <w:noProof/>
                <w:webHidden/>
              </w:rPr>
            </w:r>
            <w:r>
              <w:rPr>
                <w:noProof/>
                <w:webHidden/>
              </w:rPr>
              <w:fldChar w:fldCharType="separate"/>
            </w:r>
            <w:r>
              <w:rPr>
                <w:noProof/>
                <w:webHidden/>
              </w:rPr>
              <w:t>49</w:t>
            </w:r>
            <w:r>
              <w:rPr>
                <w:noProof/>
                <w:webHidden/>
              </w:rPr>
              <w:fldChar w:fldCharType="end"/>
            </w:r>
          </w:hyperlink>
        </w:p>
        <w:p w14:paraId="6377635C" w14:textId="5D0637BC"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77" w:history="1">
            <w:r w:rsidRPr="00845877">
              <w:rPr>
                <w:rStyle w:val="Hyperlink"/>
                <w:noProof/>
              </w:rPr>
              <w:t>4.3</w:t>
            </w:r>
            <w:r>
              <w:rPr>
                <w:rFonts w:eastAsiaTheme="minorEastAsia" w:cstheme="minorBidi"/>
                <w:b w:val="0"/>
                <w:bCs w:val="0"/>
                <w:noProof/>
                <w:kern w:val="2"/>
                <w:sz w:val="24"/>
                <w:szCs w:val="24"/>
                <w14:ligatures w14:val="standardContextual"/>
              </w:rPr>
              <w:tab/>
            </w:r>
            <w:r w:rsidRPr="00845877">
              <w:rPr>
                <w:rStyle w:val="Hyperlink"/>
                <w:noProof/>
              </w:rPr>
              <w:t>Protections Missing in Regulation and Standards</w:t>
            </w:r>
            <w:r>
              <w:rPr>
                <w:noProof/>
                <w:webHidden/>
              </w:rPr>
              <w:tab/>
            </w:r>
            <w:r>
              <w:rPr>
                <w:noProof/>
                <w:webHidden/>
              </w:rPr>
              <w:fldChar w:fldCharType="begin"/>
            </w:r>
            <w:r>
              <w:rPr>
                <w:noProof/>
                <w:webHidden/>
              </w:rPr>
              <w:instrText xml:space="preserve"> PAGEREF _Toc134081077 \h </w:instrText>
            </w:r>
            <w:r>
              <w:rPr>
                <w:noProof/>
                <w:webHidden/>
              </w:rPr>
            </w:r>
            <w:r>
              <w:rPr>
                <w:noProof/>
                <w:webHidden/>
              </w:rPr>
              <w:fldChar w:fldCharType="separate"/>
            </w:r>
            <w:r>
              <w:rPr>
                <w:noProof/>
                <w:webHidden/>
              </w:rPr>
              <w:t>50</w:t>
            </w:r>
            <w:r>
              <w:rPr>
                <w:noProof/>
                <w:webHidden/>
              </w:rPr>
              <w:fldChar w:fldCharType="end"/>
            </w:r>
          </w:hyperlink>
        </w:p>
        <w:p w14:paraId="762BAEA3" w14:textId="489EFB92"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8" w:history="1">
            <w:r w:rsidRPr="00845877">
              <w:rPr>
                <w:rStyle w:val="Hyperlink"/>
                <w:noProof/>
              </w:rPr>
              <w:t>4.3.1</w:t>
            </w:r>
            <w:r>
              <w:rPr>
                <w:rFonts w:eastAsiaTheme="minorEastAsia" w:cstheme="minorBidi"/>
                <w:noProof/>
                <w:kern w:val="2"/>
                <w:sz w:val="24"/>
                <w:szCs w:val="24"/>
                <w14:ligatures w14:val="standardContextual"/>
              </w:rPr>
              <w:tab/>
            </w:r>
            <w:r w:rsidRPr="00845877">
              <w:rPr>
                <w:rStyle w:val="Hyperlink"/>
                <w:noProof/>
              </w:rPr>
              <w:t>India’s Digital Personal Data Protection Bill 2022</w:t>
            </w:r>
            <w:r>
              <w:rPr>
                <w:noProof/>
                <w:webHidden/>
              </w:rPr>
              <w:tab/>
            </w:r>
            <w:r>
              <w:rPr>
                <w:noProof/>
                <w:webHidden/>
              </w:rPr>
              <w:fldChar w:fldCharType="begin"/>
            </w:r>
            <w:r>
              <w:rPr>
                <w:noProof/>
                <w:webHidden/>
              </w:rPr>
              <w:instrText xml:space="preserve"> PAGEREF _Toc134081078 \h </w:instrText>
            </w:r>
            <w:r>
              <w:rPr>
                <w:noProof/>
                <w:webHidden/>
              </w:rPr>
            </w:r>
            <w:r>
              <w:rPr>
                <w:noProof/>
                <w:webHidden/>
              </w:rPr>
              <w:fldChar w:fldCharType="separate"/>
            </w:r>
            <w:r>
              <w:rPr>
                <w:noProof/>
                <w:webHidden/>
              </w:rPr>
              <w:t>51</w:t>
            </w:r>
            <w:r>
              <w:rPr>
                <w:noProof/>
                <w:webHidden/>
              </w:rPr>
              <w:fldChar w:fldCharType="end"/>
            </w:r>
          </w:hyperlink>
        </w:p>
        <w:p w14:paraId="04D7AAD7" w14:textId="3C907695"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79" w:history="1">
            <w:r w:rsidRPr="00845877">
              <w:rPr>
                <w:rStyle w:val="Hyperlink"/>
                <w:noProof/>
              </w:rPr>
              <w:t>4.3.2</w:t>
            </w:r>
            <w:r>
              <w:rPr>
                <w:rFonts w:eastAsiaTheme="minorEastAsia" w:cstheme="minorBidi"/>
                <w:noProof/>
                <w:kern w:val="2"/>
                <w:sz w:val="24"/>
                <w:szCs w:val="24"/>
                <w14:ligatures w14:val="standardContextual"/>
              </w:rPr>
              <w:tab/>
            </w:r>
            <w:r w:rsidRPr="00845877">
              <w:rPr>
                <w:rStyle w:val="Hyperlink"/>
                <w:noProof/>
              </w:rPr>
              <w:t>Singapore’s Personal Data Protection Act and the Public Sector (Governance) Act</w:t>
            </w:r>
            <w:r>
              <w:rPr>
                <w:noProof/>
                <w:webHidden/>
              </w:rPr>
              <w:tab/>
            </w:r>
            <w:r>
              <w:rPr>
                <w:noProof/>
                <w:webHidden/>
              </w:rPr>
              <w:fldChar w:fldCharType="begin"/>
            </w:r>
            <w:r>
              <w:rPr>
                <w:noProof/>
                <w:webHidden/>
              </w:rPr>
              <w:instrText xml:space="preserve"> PAGEREF _Toc134081079 \h </w:instrText>
            </w:r>
            <w:r>
              <w:rPr>
                <w:noProof/>
                <w:webHidden/>
              </w:rPr>
            </w:r>
            <w:r>
              <w:rPr>
                <w:noProof/>
                <w:webHidden/>
              </w:rPr>
              <w:fldChar w:fldCharType="separate"/>
            </w:r>
            <w:r>
              <w:rPr>
                <w:noProof/>
                <w:webHidden/>
              </w:rPr>
              <w:t>51</w:t>
            </w:r>
            <w:r>
              <w:rPr>
                <w:noProof/>
                <w:webHidden/>
              </w:rPr>
              <w:fldChar w:fldCharType="end"/>
            </w:r>
          </w:hyperlink>
        </w:p>
        <w:p w14:paraId="60C1A4E3" w14:textId="70EDC4C7"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0" w:history="1">
            <w:r w:rsidRPr="00845877">
              <w:rPr>
                <w:rStyle w:val="Hyperlink"/>
                <w:noProof/>
              </w:rPr>
              <w:t>4.3.3</w:t>
            </w:r>
            <w:r>
              <w:rPr>
                <w:rFonts w:eastAsiaTheme="minorEastAsia" w:cstheme="minorBidi"/>
                <w:noProof/>
                <w:kern w:val="2"/>
                <w:sz w:val="24"/>
                <w:szCs w:val="24"/>
                <w14:ligatures w14:val="standardContextual"/>
              </w:rPr>
              <w:tab/>
            </w:r>
            <w:r w:rsidRPr="00845877">
              <w:rPr>
                <w:rStyle w:val="Hyperlink"/>
                <w:noProof/>
              </w:rPr>
              <w:t>GDPR, NIS2, and eIDAS</w:t>
            </w:r>
            <w:r>
              <w:rPr>
                <w:noProof/>
                <w:webHidden/>
              </w:rPr>
              <w:tab/>
            </w:r>
            <w:r>
              <w:rPr>
                <w:noProof/>
                <w:webHidden/>
              </w:rPr>
              <w:fldChar w:fldCharType="begin"/>
            </w:r>
            <w:r>
              <w:rPr>
                <w:noProof/>
                <w:webHidden/>
              </w:rPr>
              <w:instrText xml:space="preserve"> PAGEREF _Toc134081080 \h </w:instrText>
            </w:r>
            <w:r>
              <w:rPr>
                <w:noProof/>
                <w:webHidden/>
              </w:rPr>
            </w:r>
            <w:r>
              <w:rPr>
                <w:noProof/>
                <w:webHidden/>
              </w:rPr>
              <w:fldChar w:fldCharType="separate"/>
            </w:r>
            <w:r>
              <w:rPr>
                <w:noProof/>
                <w:webHidden/>
              </w:rPr>
              <w:t>52</w:t>
            </w:r>
            <w:r>
              <w:rPr>
                <w:noProof/>
                <w:webHidden/>
              </w:rPr>
              <w:fldChar w:fldCharType="end"/>
            </w:r>
          </w:hyperlink>
        </w:p>
        <w:p w14:paraId="7FDF8DCD" w14:textId="6787394E"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1" w:history="1">
            <w:r w:rsidRPr="00845877">
              <w:rPr>
                <w:rStyle w:val="Hyperlink"/>
                <w:noProof/>
              </w:rPr>
              <w:t>4.3.4</w:t>
            </w:r>
            <w:r>
              <w:rPr>
                <w:rFonts w:eastAsiaTheme="minorEastAsia" w:cstheme="minorBidi"/>
                <w:noProof/>
                <w:kern w:val="2"/>
                <w:sz w:val="24"/>
                <w:szCs w:val="24"/>
                <w14:ligatures w14:val="standardContextual"/>
              </w:rPr>
              <w:tab/>
            </w:r>
            <w:r w:rsidRPr="00845877">
              <w:rPr>
                <w:rStyle w:val="Hyperlink"/>
                <w:noProof/>
              </w:rPr>
              <w:t>U.S. Federal and State Privacy Laws</w:t>
            </w:r>
            <w:r>
              <w:rPr>
                <w:noProof/>
                <w:webHidden/>
              </w:rPr>
              <w:tab/>
            </w:r>
            <w:r>
              <w:rPr>
                <w:noProof/>
                <w:webHidden/>
              </w:rPr>
              <w:fldChar w:fldCharType="begin"/>
            </w:r>
            <w:r>
              <w:rPr>
                <w:noProof/>
                <w:webHidden/>
              </w:rPr>
              <w:instrText xml:space="preserve"> PAGEREF _Toc134081081 \h </w:instrText>
            </w:r>
            <w:r>
              <w:rPr>
                <w:noProof/>
                <w:webHidden/>
              </w:rPr>
            </w:r>
            <w:r>
              <w:rPr>
                <w:noProof/>
                <w:webHidden/>
              </w:rPr>
              <w:fldChar w:fldCharType="separate"/>
            </w:r>
            <w:r>
              <w:rPr>
                <w:noProof/>
                <w:webHidden/>
              </w:rPr>
              <w:t>53</w:t>
            </w:r>
            <w:r>
              <w:rPr>
                <w:noProof/>
                <w:webHidden/>
              </w:rPr>
              <w:fldChar w:fldCharType="end"/>
            </w:r>
          </w:hyperlink>
        </w:p>
        <w:p w14:paraId="3E4FDC8C" w14:textId="06D701EB"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082" w:history="1">
            <w:r w:rsidRPr="00845877">
              <w:rPr>
                <w:rStyle w:val="Hyperlink"/>
                <w:noProof/>
              </w:rPr>
              <w:t>5</w:t>
            </w:r>
            <w:r>
              <w:rPr>
                <w:rFonts w:eastAsiaTheme="minorEastAsia" w:cstheme="minorBidi"/>
                <w:b w:val="0"/>
                <w:bCs w:val="0"/>
                <w:i w:val="0"/>
                <w:iCs w:val="0"/>
                <w:noProof/>
                <w:kern w:val="2"/>
                <w14:ligatures w14:val="standardContextual"/>
              </w:rPr>
              <w:tab/>
            </w:r>
            <w:r w:rsidRPr="00845877">
              <w:rPr>
                <w:rStyle w:val="Hyperlink"/>
                <w:noProof/>
              </w:rPr>
              <w:t>Recommendations for Scaling to the Future</w:t>
            </w:r>
            <w:r>
              <w:rPr>
                <w:noProof/>
                <w:webHidden/>
              </w:rPr>
              <w:tab/>
            </w:r>
            <w:r>
              <w:rPr>
                <w:noProof/>
                <w:webHidden/>
              </w:rPr>
              <w:fldChar w:fldCharType="begin"/>
            </w:r>
            <w:r>
              <w:rPr>
                <w:noProof/>
                <w:webHidden/>
              </w:rPr>
              <w:instrText xml:space="preserve"> PAGEREF _Toc134081082 \h </w:instrText>
            </w:r>
            <w:r>
              <w:rPr>
                <w:noProof/>
                <w:webHidden/>
              </w:rPr>
            </w:r>
            <w:r>
              <w:rPr>
                <w:noProof/>
                <w:webHidden/>
              </w:rPr>
              <w:fldChar w:fldCharType="separate"/>
            </w:r>
            <w:r>
              <w:rPr>
                <w:noProof/>
                <w:webHidden/>
              </w:rPr>
              <w:t>54</w:t>
            </w:r>
            <w:r>
              <w:rPr>
                <w:noProof/>
                <w:webHidden/>
              </w:rPr>
              <w:fldChar w:fldCharType="end"/>
            </w:r>
          </w:hyperlink>
        </w:p>
        <w:p w14:paraId="18CCB011" w14:textId="0B2C6EBB"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83" w:history="1">
            <w:r w:rsidRPr="00845877">
              <w:rPr>
                <w:rStyle w:val="Hyperlink"/>
                <w:noProof/>
              </w:rPr>
              <w:t>5.1</w:t>
            </w:r>
            <w:r>
              <w:rPr>
                <w:rFonts w:eastAsiaTheme="minorEastAsia" w:cstheme="minorBidi"/>
                <w:b w:val="0"/>
                <w:bCs w:val="0"/>
                <w:noProof/>
                <w:kern w:val="2"/>
                <w:sz w:val="24"/>
                <w:szCs w:val="24"/>
                <w14:ligatures w14:val="standardContextual"/>
              </w:rPr>
              <w:tab/>
            </w:r>
            <w:r w:rsidRPr="00845877">
              <w:rPr>
                <w:rStyle w:val="Hyperlink"/>
                <w:noProof/>
              </w:rPr>
              <w:t>The Basics of Security and Privacy</w:t>
            </w:r>
            <w:r>
              <w:rPr>
                <w:noProof/>
                <w:webHidden/>
              </w:rPr>
              <w:tab/>
            </w:r>
            <w:r>
              <w:rPr>
                <w:noProof/>
                <w:webHidden/>
              </w:rPr>
              <w:fldChar w:fldCharType="begin"/>
            </w:r>
            <w:r>
              <w:rPr>
                <w:noProof/>
                <w:webHidden/>
              </w:rPr>
              <w:instrText xml:space="preserve"> PAGEREF _Toc134081083 \h </w:instrText>
            </w:r>
            <w:r>
              <w:rPr>
                <w:noProof/>
                <w:webHidden/>
              </w:rPr>
            </w:r>
            <w:r>
              <w:rPr>
                <w:noProof/>
                <w:webHidden/>
              </w:rPr>
              <w:fldChar w:fldCharType="separate"/>
            </w:r>
            <w:r>
              <w:rPr>
                <w:noProof/>
                <w:webHidden/>
              </w:rPr>
              <w:t>56</w:t>
            </w:r>
            <w:r>
              <w:rPr>
                <w:noProof/>
                <w:webHidden/>
              </w:rPr>
              <w:fldChar w:fldCharType="end"/>
            </w:r>
          </w:hyperlink>
        </w:p>
        <w:p w14:paraId="7F8B4168" w14:textId="264754A8"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4" w:history="1">
            <w:r w:rsidRPr="00845877">
              <w:rPr>
                <w:rStyle w:val="Hyperlink"/>
                <w:noProof/>
              </w:rPr>
              <w:t>5.1.1</w:t>
            </w:r>
            <w:r>
              <w:rPr>
                <w:rFonts w:eastAsiaTheme="minorEastAsia" w:cstheme="minorBidi"/>
                <w:noProof/>
                <w:kern w:val="2"/>
                <w:sz w:val="24"/>
                <w:szCs w:val="24"/>
                <w14:ligatures w14:val="standardContextual"/>
              </w:rPr>
              <w:tab/>
            </w:r>
            <w:r w:rsidRPr="00845877">
              <w:rPr>
                <w:rStyle w:val="Hyperlink"/>
                <w:noProof/>
              </w:rPr>
              <w:t>Individual Agency</w:t>
            </w:r>
            <w:r>
              <w:rPr>
                <w:noProof/>
                <w:webHidden/>
              </w:rPr>
              <w:tab/>
            </w:r>
            <w:r>
              <w:rPr>
                <w:noProof/>
                <w:webHidden/>
              </w:rPr>
              <w:fldChar w:fldCharType="begin"/>
            </w:r>
            <w:r>
              <w:rPr>
                <w:noProof/>
                <w:webHidden/>
              </w:rPr>
              <w:instrText xml:space="preserve"> PAGEREF _Toc134081084 \h </w:instrText>
            </w:r>
            <w:r>
              <w:rPr>
                <w:noProof/>
                <w:webHidden/>
              </w:rPr>
            </w:r>
            <w:r>
              <w:rPr>
                <w:noProof/>
                <w:webHidden/>
              </w:rPr>
              <w:fldChar w:fldCharType="separate"/>
            </w:r>
            <w:r>
              <w:rPr>
                <w:noProof/>
                <w:webHidden/>
              </w:rPr>
              <w:t>57</w:t>
            </w:r>
            <w:r>
              <w:rPr>
                <w:noProof/>
                <w:webHidden/>
              </w:rPr>
              <w:fldChar w:fldCharType="end"/>
            </w:r>
          </w:hyperlink>
        </w:p>
        <w:p w14:paraId="1C592CB1" w14:textId="6E9192A0"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5" w:history="1">
            <w:r w:rsidRPr="00845877">
              <w:rPr>
                <w:rStyle w:val="Hyperlink"/>
                <w:noProof/>
              </w:rPr>
              <w:t>5.1.2</w:t>
            </w:r>
            <w:r>
              <w:rPr>
                <w:rFonts w:eastAsiaTheme="minorEastAsia" w:cstheme="minorBidi"/>
                <w:noProof/>
                <w:kern w:val="2"/>
                <w:sz w:val="24"/>
                <w:szCs w:val="24"/>
                <w14:ligatures w14:val="standardContextual"/>
              </w:rPr>
              <w:tab/>
            </w:r>
            <w:r w:rsidRPr="00845877">
              <w:rPr>
                <w:rStyle w:val="Hyperlink"/>
                <w:noProof/>
              </w:rPr>
              <w:t>Systemic Transparency</w:t>
            </w:r>
            <w:r>
              <w:rPr>
                <w:noProof/>
                <w:webHidden/>
              </w:rPr>
              <w:tab/>
            </w:r>
            <w:r>
              <w:rPr>
                <w:noProof/>
                <w:webHidden/>
              </w:rPr>
              <w:fldChar w:fldCharType="begin"/>
            </w:r>
            <w:r>
              <w:rPr>
                <w:noProof/>
                <w:webHidden/>
              </w:rPr>
              <w:instrText xml:space="preserve"> PAGEREF _Toc134081085 \h </w:instrText>
            </w:r>
            <w:r>
              <w:rPr>
                <w:noProof/>
                <w:webHidden/>
              </w:rPr>
            </w:r>
            <w:r>
              <w:rPr>
                <w:noProof/>
                <w:webHidden/>
              </w:rPr>
              <w:fldChar w:fldCharType="separate"/>
            </w:r>
            <w:r>
              <w:rPr>
                <w:noProof/>
                <w:webHidden/>
              </w:rPr>
              <w:t>58</w:t>
            </w:r>
            <w:r>
              <w:rPr>
                <w:noProof/>
                <w:webHidden/>
              </w:rPr>
              <w:fldChar w:fldCharType="end"/>
            </w:r>
          </w:hyperlink>
        </w:p>
        <w:p w14:paraId="24144A29" w14:textId="7F5809FE"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6" w:history="1">
            <w:r w:rsidRPr="00845877">
              <w:rPr>
                <w:rStyle w:val="Hyperlink"/>
                <w:noProof/>
              </w:rPr>
              <w:t>5.1.3</w:t>
            </w:r>
            <w:r>
              <w:rPr>
                <w:rFonts w:eastAsiaTheme="minorEastAsia" w:cstheme="minorBidi"/>
                <w:noProof/>
                <w:kern w:val="2"/>
                <w:sz w:val="24"/>
                <w:szCs w:val="24"/>
                <w14:ligatures w14:val="standardContextual"/>
              </w:rPr>
              <w:tab/>
            </w:r>
            <w:r w:rsidRPr="00845877">
              <w:rPr>
                <w:rStyle w:val="Hyperlink"/>
                <w:noProof/>
              </w:rPr>
              <w:t>Data Minimization</w:t>
            </w:r>
            <w:r>
              <w:rPr>
                <w:noProof/>
                <w:webHidden/>
              </w:rPr>
              <w:tab/>
            </w:r>
            <w:r>
              <w:rPr>
                <w:noProof/>
                <w:webHidden/>
              </w:rPr>
              <w:fldChar w:fldCharType="begin"/>
            </w:r>
            <w:r>
              <w:rPr>
                <w:noProof/>
                <w:webHidden/>
              </w:rPr>
              <w:instrText xml:space="preserve"> PAGEREF _Toc134081086 \h </w:instrText>
            </w:r>
            <w:r>
              <w:rPr>
                <w:noProof/>
                <w:webHidden/>
              </w:rPr>
            </w:r>
            <w:r>
              <w:rPr>
                <w:noProof/>
                <w:webHidden/>
              </w:rPr>
              <w:fldChar w:fldCharType="separate"/>
            </w:r>
            <w:r>
              <w:rPr>
                <w:noProof/>
                <w:webHidden/>
              </w:rPr>
              <w:t>59</w:t>
            </w:r>
            <w:r>
              <w:rPr>
                <w:noProof/>
                <w:webHidden/>
              </w:rPr>
              <w:fldChar w:fldCharType="end"/>
            </w:r>
          </w:hyperlink>
        </w:p>
        <w:p w14:paraId="396DC1CA" w14:textId="14D0DF23"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7" w:history="1">
            <w:r w:rsidRPr="00845877">
              <w:rPr>
                <w:rStyle w:val="Hyperlink"/>
                <w:noProof/>
              </w:rPr>
              <w:t>5.1.4</w:t>
            </w:r>
            <w:r>
              <w:rPr>
                <w:rFonts w:eastAsiaTheme="minorEastAsia" w:cstheme="minorBidi"/>
                <w:noProof/>
                <w:kern w:val="2"/>
                <w:sz w:val="24"/>
                <w:szCs w:val="24"/>
                <w14:ligatures w14:val="standardContextual"/>
              </w:rPr>
              <w:tab/>
            </w:r>
            <w:r w:rsidRPr="00845877">
              <w:rPr>
                <w:rStyle w:val="Hyperlink"/>
                <w:noProof/>
              </w:rPr>
              <w:t>Selective Disclosure</w:t>
            </w:r>
            <w:r>
              <w:rPr>
                <w:noProof/>
                <w:webHidden/>
              </w:rPr>
              <w:tab/>
            </w:r>
            <w:r>
              <w:rPr>
                <w:noProof/>
                <w:webHidden/>
              </w:rPr>
              <w:fldChar w:fldCharType="begin"/>
            </w:r>
            <w:r>
              <w:rPr>
                <w:noProof/>
                <w:webHidden/>
              </w:rPr>
              <w:instrText xml:space="preserve"> PAGEREF _Toc134081087 \h </w:instrText>
            </w:r>
            <w:r>
              <w:rPr>
                <w:noProof/>
                <w:webHidden/>
              </w:rPr>
            </w:r>
            <w:r>
              <w:rPr>
                <w:noProof/>
                <w:webHidden/>
              </w:rPr>
              <w:fldChar w:fldCharType="separate"/>
            </w:r>
            <w:r>
              <w:rPr>
                <w:noProof/>
                <w:webHidden/>
              </w:rPr>
              <w:t>60</w:t>
            </w:r>
            <w:r>
              <w:rPr>
                <w:noProof/>
                <w:webHidden/>
              </w:rPr>
              <w:fldChar w:fldCharType="end"/>
            </w:r>
          </w:hyperlink>
        </w:p>
        <w:p w14:paraId="42B03361" w14:textId="3DC4B9CF"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88" w:history="1">
            <w:r w:rsidRPr="00845877">
              <w:rPr>
                <w:rStyle w:val="Hyperlink"/>
                <w:noProof/>
              </w:rPr>
              <w:t>5.2</w:t>
            </w:r>
            <w:r>
              <w:rPr>
                <w:rFonts w:eastAsiaTheme="minorEastAsia" w:cstheme="minorBidi"/>
                <w:b w:val="0"/>
                <w:bCs w:val="0"/>
                <w:noProof/>
                <w:kern w:val="2"/>
                <w:sz w:val="24"/>
                <w:szCs w:val="24"/>
                <w14:ligatures w14:val="standardContextual"/>
              </w:rPr>
              <w:tab/>
            </w:r>
            <w:r w:rsidRPr="00845877">
              <w:rPr>
                <w:rStyle w:val="Hyperlink"/>
                <w:noProof/>
              </w:rPr>
              <w:t>Addressing Ongoing Concerns</w:t>
            </w:r>
            <w:r>
              <w:rPr>
                <w:noProof/>
                <w:webHidden/>
              </w:rPr>
              <w:tab/>
            </w:r>
            <w:r>
              <w:rPr>
                <w:noProof/>
                <w:webHidden/>
              </w:rPr>
              <w:fldChar w:fldCharType="begin"/>
            </w:r>
            <w:r>
              <w:rPr>
                <w:noProof/>
                <w:webHidden/>
              </w:rPr>
              <w:instrText xml:space="preserve"> PAGEREF _Toc134081088 \h </w:instrText>
            </w:r>
            <w:r>
              <w:rPr>
                <w:noProof/>
                <w:webHidden/>
              </w:rPr>
            </w:r>
            <w:r>
              <w:rPr>
                <w:noProof/>
                <w:webHidden/>
              </w:rPr>
              <w:fldChar w:fldCharType="separate"/>
            </w:r>
            <w:r>
              <w:rPr>
                <w:noProof/>
                <w:webHidden/>
              </w:rPr>
              <w:t>61</w:t>
            </w:r>
            <w:r>
              <w:rPr>
                <w:noProof/>
                <w:webHidden/>
              </w:rPr>
              <w:fldChar w:fldCharType="end"/>
            </w:r>
          </w:hyperlink>
        </w:p>
        <w:p w14:paraId="7CAFF7A3" w14:textId="786A6BEF"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89" w:history="1">
            <w:r w:rsidRPr="00845877">
              <w:rPr>
                <w:rStyle w:val="Hyperlink"/>
                <w:noProof/>
              </w:rPr>
              <w:t>5.2.1</w:t>
            </w:r>
            <w:r>
              <w:rPr>
                <w:rFonts w:eastAsiaTheme="minorEastAsia" w:cstheme="minorBidi"/>
                <w:noProof/>
                <w:kern w:val="2"/>
                <w:sz w:val="24"/>
                <w:szCs w:val="24"/>
                <w14:ligatures w14:val="standardContextual"/>
              </w:rPr>
              <w:tab/>
            </w:r>
            <w:r w:rsidRPr="00845877">
              <w:rPr>
                <w:rStyle w:val="Hyperlink"/>
                <w:noProof/>
              </w:rPr>
              <w:t>Surveillance</w:t>
            </w:r>
            <w:r>
              <w:rPr>
                <w:noProof/>
                <w:webHidden/>
              </w:rPr>
              <w:tab/>
            </w:r>
            <w:r>
              <w:rPr>
                <w:noProof/>
                <w:webHidden/>
              </w:rPr>
              <w:fldChar w:fldCharType="begin"/>
            </w:r>
            <w:r>
              <w:rPr>
                <w:noProof/>
                <w:webHidden/>
              </w:rPr>
              <w:instrText xml:space="preserve"> PAGEREF _Toc134081089 \h </w:instrText>
            </w:r>
            <w:r>
              <w:rPr>
                <w:noProof/>
                <w:webHidden/>
              </w:rPr>
            </w:r>
            <w:r>
              <w:rPr>
                <w:noProof/>
                <w:webHidden/>
              </w:rPr>
              <w:fldChar w:fldCharType="separate"/>
            </w:r>
            <w:r>
              <w:rPr>
                <w:noProof/>
                <w:webHidden/>
              </w:rPr>
              <w:t>61</w:t>
            </w:r>
            <w:r>
              <w:rPr>
                <w:noProof/>
                <w:webHidden/>
              </w:rPr>
              <w:fldChar w:fldCharType="end"/>
            </w:r>
          </w:hyperlink>
        </w:p>
        <w:p w14:paraId="05BC1B89" w14:textId="7D9DE627"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0" w:history="1">
            <w:r w:rsidRPr="00845877">
              <w:rPr>
                <w:rStyle w:val="Hyperlink"/>
                <w:noProof/>
              </w:rPr>
              <w:t>5.2.2</w:t>
            </w:r>
            <w:r>
              <w:rPr>
                <w:rFonts w:eastAsiaTheme="minorEastAsia" w:cstheme="minorBidi"/>
                <w:noProof/>
                <w:kern w:val="2"/>
                <w:sz w:val="24"/>
                <w:szCs w:val="24"/>
                <w14:ligatures w14:val="standardContextual"/>
              </w:rPr>
              <w:tab/>
            </w:r>
            <w:r w:rsidRPr="00845877">
              <w:rPr>
                <w:rStyle w:val="Hyperlink"/>
                <w:noProof/>
              </w:rPr>
              <w:t>Diversity, Equity, and Inclusion</w:t>
            </w:r>
            <w:r>
              <w:rPr>
                <w:noProof/>
                <w:webHidden/>
              </w:rPr>
              <w:tab/>
            </w:r>
            <w:r>
              <w:rPr>
                <w:noProof/>
                <w:webHidden/>
              </w:rPr>
              <w:fldChar w:fldCharType="begin"/>
            </w:r>
            <w:r>
              <w:rPr>
                <w:noProof/>
                <w:webHidden/>
              </w:rPr>
              <w:instrText xml:space="preserve"> PAGEREF _Toc134081090 \h </w:instrText>
            </w:r>
            <w:r>
              <w:rPr>
                <w:noProof/>
                <w:webHidden/>
              </w:rPr>
            </w:r>
            <w:r>
              <w:rPr>
                <w:noProof/>
                <w:webHidden/>
              </w:rPr>
              <w:fldChar w:fldCharType="separate"/>
            </w:r>
            <w:r>
              <w:rPr>
                <w:noProof/>
                <w:webHidden/>
              </w:rPr>
              <w:t>62</w:t>
            </w:r>
            <w:r>
              <w:rPr>
                <w:noProof/>
                <w:webHidden/>
              </w:rPr>
              <w:fldChar w:fldCharType="end"/>
            </w:r>
          </w:hyperlink>
        </w:p>
        <w:p w14:paraId="1C78F8DD" w14:textId="0A11388C"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1" w:history="1">
            <w:r w:rsidRPr="00845877">
              <w:rPr>
                <w:rStyle w:val="Hyperlink"/>
                <w:noProof/>
              </w:rPr>
              <w:t>5.2.3</w:t>
            </w:r>
            <w:r>
              <w:rPr>
                <w:rFonts w:eastAsiaTheme="minorEastAsia" w:cstheme="minorBidi"/>
                <w:noProof/>
                <w:kern w:val="2"/>
                <w:sz w:val="24"/>
                <w:szCs w:val="24"/>
                <w14:ligatures w14:val="standardContextual"/>
              </w:rPr>
              <w:tab/>
            </w:r>
            <w:r w:rsidRPr="00845877">
              <w:rPr>
                <w:rStyle w:val="Hyperlink"/>
                <w:noProof/>
              </w:rPr>
              <w:t>Single Points of Failure</w:t>
            </w:r>
            <w:r>
              <w:rPr>
                <w:noProof/>
                <w:webHidden/>
              </w:rPr>
              <w:tab/>
            </w:r>
            <w:r>
              <w:rPr>
                <w:noProof/>
                <w:webHidden/>
              </w:rPr>
              <w:fldChar w:fldCharType="begin"/>
            </w:r>
            <w:r>
              <w:rPr>
                <w:noProof/>
                <w:webHidden/>
              </w:rPr>
              <w:instrText xml:space="preserve"> PAGEREF _Toc134081091 \h </w:instrText>
            </w:r>
            <w:r>
              <w:rPr>
                <w:noProof/>
                <w:webHidden/>
              </w:rPr>
            </w:r>
            <w:r>
              <w:rPr>
                <w:noProof/>
                <w:webHidden/>
              </w:rPr>
              <w:fldChar w:fldCharType="separate"/>
            </w:r>
            <w:r>
              <w:rPr>
                <w:noProof/>
                <w:webHidden/>
              </w:rPr>
              <w:t>62</w:t>
            </w:r>
            <w:r>
              <w:rPr>
                <w:noProof/>
                <w:webHidden/>
              </w:rPr>
              <w:fldChar w:fldCharType="end"/>
            </w:r>
          </w:hyperlink>
        </w:p>
        <w:p w14:paraId="67F0028F" w14:textId="1122E877"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2" w:history="1">
            <w:r w:rsidRPr="00845877">
              <w:rPr>
                <w:rStyle w:val="Hyperlink"/>
                <w:noProof/>
              </w:rPr>
              <w:t>5.2.4</w:t>
            </w:r>
            <w:r>
              <w:rPr>
                <w:rFonts w:eastAsiaTheme="minorEastAsia" w:cstheme="minorBidi"/>
                <w:noProof/>
                <w:kern w:val="2"/>
                <w:sz w:val="24"/>
                <w:szCs w:val="24"/>
                <w14:ligatures w14:val="standardContextual"/>
              </w:rPr>
              <w:tab/>
            </w:r>
            <w:r w:rsidRPr="00845877">
              <w:rPr>
                <w:rStyle w:val="Hyperlink"/>
                <w:noProof/>
              </w:rPr>
              <w:t>Inappropriate Use by Legitimate Actors</w:t>
            </w:r>
            <w:r>
              <w:rPr>
                <w:noProof/>
                <w:webHidden/>
              </w:rPr>
              <w:tab/>
            </w:r>
            <w:r>
              <w:rPr>
                <w:noProof/>
                <w:webHidden/>
              </w:rPr>
              <w:fldChar w:fldCharType="begin"/>
            </w:r>
            <w:r>
              <w:rPr>
                <w:noProof/>
                <w:webHidden/>
              </w:rPr>
              <w:instrText xml:space="preserve"> PAGEREF _Toc134081092 \h </w:instrText>
            </w:r>
            <w:r>
              <w:rPr>
                <w:noProof/>
                <w:webHidden/>
              </w:rPr>
            </w:r>
            <w:r>
              <w:rPr>
                <w:noProof/>
                <w:webHidden/>
              </w:rPr>
              <w:fldChar w:fldCharType="separate"/>
            </w:r>
            <w:r>
              <w:rPr>
                <w:noProof/>
                <w:webHidden/>
              </w:rPr>
              <w:t>63</w:t>
            </w:r>
            <w:r>
              <w:rPr>
                <w:noProof/>
                <w:webHidden/>
              </w:rPr>
              <w:fldChar w:fldCharType="end"/>
            </w:r>
          </w:hyperlink>
        </w:p>
        <w:p w14:paraId="7D9F24B4" w14:textId="4B956341"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3" w:history="1">
            <w:r w:rsidRPr="00845877">
              <w:rPr>
                <w:rStyle w:val="Hyperlink"/>
                <w:noProof/>
              </w:rPr>
              <w:t>5.2.5</w:t>
            </w:r>
            <w:r>
              <w:rPr>
                <w:rFonts w:eastAsiaTheme="minorEastAsia" w:cstheme="minorBidi"/>
                <w:noProof/>
                <w:kern w:val="2"/>
                <w:sz w:val="24"/>
                <w:szCs w:val="24"/>
                <w14:ligatures w14:val="standardContextual"/>
              </w:rPr>
              <w:tab/>
            </w:r>
            <w:r w:rsidRPr="00845877">
              <w:rPr>
                <w:rStyle w:val="Hyperlink"/>
                <w:noProof/>
              </w:rPr>
              <w:t>Sustainable Protections</w:t>
            </w:r>
            <w:r>
              <w:rPr>
                <w:noProof/>
                <w:webHidden/>
              </w:rPr>
              <w:tab/>
            </w:r>
            <w:r>
              <w:rPr>
                <w:noProof/>
                <w:webHidden/>
              </w:rPr>
              <w:fldChar w:fldCharType="begin"/>
            </w:r>
            <w:r>
              <w:rPr>
                <w:noProof/>
                <w:webHidden/>
              </w:rPr>
              <w:instrText xml:space="preserve"> PAGEREF _Toc134081093 \h </w:instrText>
            </w:r>
            <w:r>
              <w:rPr>
                <w:noProof/>
                <w:webHidden/>
              </w:rPr>
            </w:r>
            <w:r>
              <w:rPr>
                <w:noProof/>
                <w:webHidden/>
              </w:rPr>
              <w:fldChar w:fldCharType="separate"/>
            </w:r>
            <w:r>
              <w:rPr>
                <w:noProof/>
                <w:webHidden/>
              </w:rPr>
              <w:t>63</w:t>
            </w:r>
            <w:r>
              <w:rPr>
                <w:noProof/>
                <w:webHidden/>
              </w:rPr>
              <w:fldChar w:fldCharType="end"/>
            </w:r>
          </w:hyperlink>
        </w:p>
        <w:p w14:paraId="5D4FF7CA" w14:textId="26619DAB"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94" w:history="1">
            <w:r w:rsidRPr="00845877">
              <w:rPr>
                <w:rStyle w:val="Hyperlink"/>
                <w:noProof/>
              </w:rPr>
              <w:t>5.3</w:t>
            </w:r>
            <w:r>
              <w:rPr>
                <w:rFonts w:eastAsiaTheme="minorEastAsia" w:cstheme="minorBidi"/>
                <w:b w:val="0"/>
                <w:bCs w:val="0"/>
                <w:noProof/>
                <w:kern w:val="2"/>
                <w:sz w:val="24"/>
                <w:szCs w:val="24"/>
                <w14:ligatures w14:val="standardContextual"/>
              </w:rPr>
              <w:tab/>
            </w:r>
            <w:r w:rsidRPr="00845877">
              <w:rPr>
                <w:rStyle w:val="Hyperlink"/>
                <w:noProof/>
              </w:rPr>
              <w:t>Getting Ahead of Emerging Concerns</w:t>
            </w:r>
            <w:r>
              <w:rPr>
                <w:noProof/>
                <w:webHidden/>
              </w:rPr>
              <w:tab/>
            </w:r>
            <w:r>
              <w:rPr>
                <w:noProof/>
                <w:webHidden/>
              </w:rPr>
              <w:fldChar w:fldCharType="begin"/>
            </w:r>
            <w:r>
              <w:rPr>
                <w:noProof/>
                <w:webHidden/>
              </w:rPr>
              <w:instrText xml:space="preserve"> PAGEREF _Toc134081094 \h </w:instrText>
            </w:r>
            <w:r>
              <w:rPr>
                <w:noProof/>
                <w:webHidden/>
              </w:rPr>
            </w:r>
            <w:r>
              <w:rPr>
                <w:noProof/>
                <w:webHidden/>
              </w:rPr>
              <w:fldChar w:fldCharType="separate"/>
            </w:r>
            <w:r>
              <w:rPr>
                <w:noProof/>
                <w:webHidden/>
              </w:rPr>
              <w:t>64</w:t>
            </w:r>
            <w:r>
              <w:rPr>
                <w:noProof/>
                <w:webHidden/>
              </w:rPr>
              <w:fldChar w:fldCharType="end"/>
            </w:r>
          </w:hyperlink>
        </w:p>
        <w:p w14:paraId="5FE1D786" w14:textId="75046B7A"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5" w:history="1">
            <w:r w:rsidRPr="00845877">
              <w:rPr>
                <w:rStyle w:val="Hyperlink"/>
                <w:noProof/>
              </w:rPr>
              <w:t>5.3.1</w:t>
            </w:r>
            <w:r>
              <w:rPr>
                <w:rFonts w:eastAsiaTheme="minorEastAsia" w:cstheme="minorBidi"/>
                <w:noProof/>
                <w:kern w:val="2"/>
                <w:sz w:val="24"/>
                <w:szCs w:val="24"/>
                <w14:ligatures w14:val="standardContextual"/>
              </w:rPr>
              <w:tab/>
            </w:r>
            <w:r w:rsidRPr="00845877">
              <w:rPr>
                <w:rStyle w:val="Hyperlink"/>
                <w:noProof/>
              </w:rPr>
              <w:t>Digital Warfare</w:t>
            </w:r>
            <w:r>
              <w:rPr>
                <w:noProof/>
                <w:webHidden/>
              </w:rPr>
              <w:tab/>
            </w:r>
            <w:r>
              <w:rPr>
                <w:noProof/>
                <w:webHidden/>
              </w:rPr>
              <w:fldChar w:fldCharType="begin"/>
            </w:r>
            <w:r>
              <w:rPr>
                <w:noProof/>
                <w:webHidden/>
              </w:rPr>
              <w:instrText xml:space="preserve"> PAGEREF _Toc134081095 \h </w:instrText>
            </w:r>
            <w:r>
              <w:rPr>
                <w:noProof/>
                <w:webHidden/>
              </w:rPr>
            </w:r>
            <w:r>
              <w:rPr>
                <w:noProof/>
                <w:webHidden/>
              </w:rPr>
              <w:fldChar w:fldCharType="separate"/>
            </w:r>
            <w:r>
              <w:rPr>
                <w:noProof/>
                <w:webHidden/>
              </w:rPr>
              <w:t>64</w:t>
            </w:r>
            <w:r>
              <w:rPr>
                <w:noProof/>
                <w:webHidden/>
              </w:rPr>
              <w:fldChar w:fldCharType="end"/>
            </w:r>
          </w:hyperlink>
        </w:p>
        <w:p w14:paraId="76161308" w14:textId="34568D76"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6" w:history="1">
            <w:r w:rsidRPr="00845877">
              <w:rPr>
                <w:rStyle w:val="Hyperlink"/>
                <w:noProof/>
              </w:rPr>
              <w:t>5.3.2</w:t>
            </w:r>
            <w:r>
              <w:rPr>
                <w:rFonts w:eastAsiaTheme="minorEastAsia" w:cstheme="minorBidi"/>
                <w:noProof/>
                <w:kern w:val="2"/>
                <w:sz w:val="24"/>
                <w:szCs w:val="24"/>
                <w14:ligatures w14:val="standardContextual"/>
              </w:rPr>
              <w:tab/>
            </w:r>
            <w:r w:rsidRPr="00845877">
              <w:rPr>
                <w:rStyle w:val="Hyperlink"/>
                <w:noProof/>
              </w:rPr>
              <w:t>Deepfakes</w:t>
            </w:r>
            <w:r>
              <w:rPr>
                <w:noProof/>
                <w:webHidden/>
              </w:rPr>
              <w:tab/>
            </w:r>
            <w:r>
              <w:rPr>
                <w:noProof/>
                <w:webHidden/>
              </w:rPr>
              <w:fldChar w:fldCharType="begin"/>
            </w:r>
            <w:r>
              <w:rPr>
                <w:noProof/>
                <w:webHidden/>
              </w:rPr>
              <w:instrText xml:space="preserve"> PAGEREF _Toc134081096 \h </w:instrText>
            </w:r>
            <w:r>
              <w:rPr>
                <w:noProof/>
                <w:webHidden/>
              </w:rPr>
            </w:r>
            <w:r>
              <w:rPr>
                <w:noProof/>
                <w:webHidden/>
              </w:rPr>
              <w:fldChar w:fldCharType="separate"/>
            </w:r>
            <w:r>
              <w:rPr>
                <w:noProof/>
                <w:webHidden/>
              </w:rPr>
              <w:t>65</w:t>
            </w:r>
            <w:r>
              <w:rPr>
                <w:noProof/>
                <w:webHidden/>
              </w:rPr>
              <w:fldChar w:fldCharType="end"/>
            </w:r>
          </w:hyperlink>
        </w:p>
        <w:p w14:paraId="47E51490" w14:textId="384391D3"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7" w:history="1">
            <w:r w:rsidRPr="00845877">
              <w:rPr>
                <w:rStyle w:val="Hyperlink"/>
                <w:noProof/>
              </w:rPr>
              <w:t>5.3.3</w:t>
            </w:r>
            <w:r>
              <w:rPr>
                <w:rFonts w:eastAsiaTheme="minorEastAsia" w:cstheme="minorBidi"/>
                <w:noProof/>
                <w:kern w:val="2"/>
                <w:sz w:val="24"/>
                <w:szCs w:val="24"/>
                <w14:ligatures w14:val="standardContextual"/>
              </w:rPr>
              <w:tab/>
            </w:r>
            <w:r w:rsidRPr="00845877">
              <w:rPr>
                <w:rStyle w:val="Hyperlink"/>
                <w:noProof/>
              </w:rPr>
              <w:t>Metaverse</w:t>
            </w:r>
            <w:r>
              <w:rPr>
                <w:noProof/>
                <w:webHidden/>
              </w:rPr>
              <w:tab/>
            </w:r>
            <w:r>
              <w:rPr>
                <w:noProof/>
                <w:webHidden/>
              </w:rPr>
              <w:fldChar w:fldCharType="begin"/>
            </w:r>
            <w:r>
              <w:rPr>
                <w:noProof/>
                <w:webHidden/>
              </w:rPr>
              <w:instrText xml:space="preserve"> PAGEREF _Toc134081097 \h </w:instrText>
            </w:r>
            <w:r>
              <w:rPr>
                <w:noProof/>
                <w:webHidden/>
              </w:rPr>
            </w:r>
            <w:r>
              <w:rPr>
                <w:noProof/>
                <w:webHidden/>
              </w:rPr>
              <w:fldChar w:fldCharType="separate"/>
            </w:r>
            <w:r>
              <w:rPr>
                <w:noProof/>
                <w:webHidden/>
              </w:rPr>
              <w:t>66</w:t>
            </w:r>
            <w:r>
              <w:rPr>
                <w:noProof/>
                <w:webHidden/>
              </w:rPr>
              <w:fldChar w:fldCharType="end"/>
            </w:r>
          </w:hyperlink>
        </w:p>
        <w:p w14:paraId="3A52BF7D" w14:textId="678AF5FA" w:rsidR="00662C9A" w:rsidRDefault="00662C9A">
          <w:pPr>
            <w:pStyle w:val="TOC3"/>
            <w:tabs>
              <w:tab w:val="left" w:pos="1100"/>
              <w:tab w:val="right" w:leader="dot" w:pos="9350"/>
            </w:tabs>
            <w:rPr>
              <w:rFonts w:eastAsiaTheme="minorEastAsia" w:cstheme="minorBidi"/>
              <w:noProof/>
              <w:kern w:val="2"/>
              <w:sz w:val="24"/>
              <w:szCs w:val="24"/>
              <w14:ligatures w14:val="standardContextual"/>
            </w:rPr>
          </w:pPr>
          <w:hyperlink w:anchor="_Toc134081098" w:history="1">
            <w:r w:rsidRPr="00845877">
              <w:rPr>
                <w:rStyle w:val="Hyperlink"/>
                <w:noProof/>
              </w:rPr>
              <w:t>5.3.4</w:t>
            </w:r>
            <w:r>
              <w:rPr>
                <w:rFonts w:eastAsiaTheme="minorEastAsia" w:cstheme="minorBidi"/>
                <w:noProof/>
                <w:kern w:val="2"/>
                <w:sz w:val="24"/>
                <w:szCs w:val="24"/>
                <w14:ligatures w14:val="standardContextual"/>
              </w:rPr>
              <w:tab/>
            </w:r>
            <w:r w:rsidRPr="00845877">
              <w:rPr>
                <w:rStyle w:val="Hyperlink"/>
                <w:noProof/>
              </w:rPr>
              <w:t>Generative AI and Large Language Models</w:t>
            </w:r>
            <w:r>
              <w:rPr>
                <w:noProof/>
                <w:webHidden/>
              </w:rPr>
              <w:tab/>
            </w:r>
            <w:r>
              <w:rPr>
                <w:noProof/>
                <w:webHidden/>
              </w:rPr>
              <w:fldChar w:fldCharType="begin"/>
            </w:r>
            <w:r>
              <w:rPr>
                <w:noProof/>
                <w:webHidden/>
              </w:rPr>
              <w:instrText xml:space="preserve"> PAGEREF _Toc134081098 \h </w:instrText>
            </w:r>
            <w:r>
              <w:rPr>
                <w:noProof/>
                <w:webHidden/>
              </w:rPr>
            </w:r>
            <w:r>
              <w:rPr>
                <w:noProof/>
                <w:webHidden/>
              </w:rPr>
              <w:fldChar w:fldCharType="separate"/>
            </w:r>
            <w:r>
              <w:rPr>
                <w:noProof/>
                <w:webHidden/>
              </w:rPr>
              <w:t>66</w:t>
            </w:r>
            <w:r>
              <w:rPr>
                <w:noProof/>
                <w:webHidden/>
              </w:rPr>
              <w:fldChar w:fldCharType="end"/>
            </w:r>
          </w:hyperlink>
        </w:p>
        <w:p w14:paraId="1388FCD3" w14:textId="4A9D1264"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099" w:history="1">
            <w:r w:rsidRPr="00845877">
              <w:rPr>
                <w:rStyle w:val="Hyperlink"/>
                <w:noProof/>
              </w:rPr>
              <w:t>5.4</w:t>
            </w:r>
            <w:r>
              <w:rPr>
                <w:rFonts w:eastAsiaTheme="minorEastAsia" w:cstheme="minorBidi"/>
                <w:b w:val="0"/>
                <w:bCs w:val="0"/>
                <w:noProof/>
                <w:kern w:val="2"/>
                <w:sz w:val="24"/>
                <w:szCs w:val="24"/>
                <w14:ligatures w14:val="standardContextual"/>
              </w:rPr>
              <w:tab/>
            </w:r>
            <w:r w:rsidRPr="00845877">
              <w:rPr>
                <w:rStyle w:val="Hyperlink"/>
                <w:noProof/>
              </w:rPr>
              <w:t>The Role of Civil Society</w:t>
            </w:r>
            <w:r>
              <w:rPr>
                <w:noProof/>
                <w:webHidden/>
              </w:rPr>
              <w:tab/>
            </w:r>
            <w:r>
              <w:rPr>
                <w:noProof/>
                <w:webHidden/>
              </w:rPr>
              <w:fldChar w:fldCharType="begin"/>
            </w:r>
            <w:r>
              <w:rPr>
                <w:noProof/>
                <w:webHidden/>
              </w:rPr>
              <w:instrText xml:space="preserve"> PAGEREF _Toc134081099 \h </w:instrText>
            </w:r>
            <w:r>
              <w:rPr>
                <w:noProof/>
                <w:webHidden/>
              </w:rPr>
            </w:r>
            <w:r>
              <w:rPr>
                <w:noProof/>
                <w:webHidden/>
              </w:rPr>
              <w:fldChar w:fldCharType="separate"/>
            </w:r>
            <w:r>
              <w:rPr>
                <w:noProof/>
                <w:webHidden/>
              </w:rPr>
              <w:t>67</w:t>
            </w:r>
            <w:r>
              <w:rPr>
                <w:noProof/>
                <w:webHidden/>
              </w:rPr>
              <w:fldChar w:fldCharType="end"/>
            </w:r>
          </w:hyperlink>
        </w:p>
        <w:p w14:paraId="0957D909" w14:textId="2E7D86A7"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100" w:history="1">
            <w:r w:rsidRPr="00845877">
              <w:rPr>
                <w:rStyle w:val="Hyperlink"/>
                <w:noProof/>
              </w:rPr>
              <w:t>6</w:t>
            </w:r>
            <w:r>
              <w:rPr>
                <w:rFonts w:eastAsiaTheme="minorEastAsia" w:cstheme="minorBidi"/>
                <w:b w:val="0"/>
                <w:bCs w:val="0"/>
                <w:i w:val="0"/>
                <w:iCs w:val="0"/>
                <w:noProof/>
                <w:kern w:val="2"/>
                <w14:ligatures w14:val="standardContextual"/>
              </w:rPr>
              <w:tab/>
            </w:r>
            <w:r w:rsidRPr="00845877">
              <w:rPr>
                <w:rStyle w:val="Hyperlink"/>
                <w:noProof/>
              </w:rPr>
              <w:t>Conclusion</w:t>
            </w:r>
            <w:r>
              <w:rPr>
                <w:noProof/>
                <w:webHidden/>
              </w:rPr>
              <w:tab/>
            </w:r>
            <w:r>
              <w:rPr>
                <w:noProof/>
                <w:webHidden/>
              </w:rPr>
              <w:fldChar w:fldCharType="begin"/>
            </w:r>
            <w:r>
              <w:rPr>
                <w:noProof/>
                <w:webHidden/>
              </w:rPr>
              <w:instrText xml:space="preserve"> PAGEREF _Toc134081100 \h </w:instrText>
            </w:r>
            <w:r>
              <w:rPr>
                <w:noProof/>
                <w:webHidden/>
              </w:rPr>
            </w:r>
            <w:r>
              <w:rPr>
                <w:noProof/>
                <w:webHidden/>
              </w:rPr>
              <w:fldChar w:fldCharType="separate"/>
            </w:r>
            <w:r>
              <w:rPr>
                <w:noProof/>
                <w:webHidden/>
              </w:rPr>
              <w:t>68</w:t>
            </w:r>
            <w:r>
              <w:rPr>
                <w:noProof/>
                <w:webHidden/>
              </w:rPr>
              <w:fldChar w:fldCharType="end"/>
            </w:r>
          </w:hyperlink>
        </w:p>
        <w:p w14:paraId="0A2DF275" w14:textId="3131EAF9"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101" w:history="1">
            <w:r w:rsidRPr="00845877">
              <w:rPr>
                <w:rStyle w:val="Hyperlink"/>
                <w:noProof/>
              </w:rPr>
              <w:t>7</w:t>
            </w:r>
            <w:r>
              <w:rPr>
                <w:rFonts w:eastAsiaTheme="minorEastAsia" w:cstheme="minorBidi"/>
                <w:b w:val="0"/>
                <w:bCs w:val="0"/>
                <w:i w:val="0"/>
                <w:iCs w:val="0"/>
                <w:noProof/>
                <w:kern w:val="2"/>
                <w14:ligatures w14:val="standardContextual"/>
              </w:rPr>
              <w:tab/>
            </w:r>
            <w:r w:rsidRPr="00845877">
              <w:rPr>
                <w:rStyle w:val="Hyperlink"/>
                <w:noProof/>
              </w:rPr>
              <w:t>Appendix A: Text of the OECD Privacy Principles</w:t>
            </w:r>
            <w:r>
              <w:rPr>
                <w:noProof/>
                <w:webHidden/>
              </w:rPr>
              <w:tab/>
            </w:r>
            <w:r>
              <w:rPr>
                <w:noProof/>
                <w:webHidden/>
              </w:rPr>
              <w:fldChar w:fldCharType="begin"/>
            </w:r>
            <w:r>
              <w:rPr>
                <w:noProof/>
                <w:webHidden/>
              </w:rPr>
              <w:instrText xml:space="preserve"> PAGEREF _Toc134081101 \h </w:instrText>
            </w:r>
            <w:r>
              <w:rPr>
                <w:noProof/>
                <w:webHidden/>
              </w:rPr>
            </w:r>
            <w:r>
              <w:rPr>
                <w:noProof/>
                <w:webHidden/>
              </w:rPr>
              <w:fldChar w:fldCharType="separate"/>
            </w:r>
            <w:r>
              <w:rPr>
                <w:noProof/>
                <w:webHidden/>
              </w:rPr>
              <w:t>69</w:t>
            </w:r>
            <w:r>
              <w:rPr>
                <w:noProof/>
                <w:webHidden/>
              </w:rPr>
              <w:fldChar w:fldCharType="end"/>
            </w:r>
          </w:hyperlink>
        </w:p>
        <w:p w14:paraId="1FBB3139" w14:textId="73D99BA5" w:rsidR="00662C9A" w:rsidRDefault="00662C9A">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34081102" w:history="1">
            <w:r w:rsidRPr="00845877">
              <w:rPr>
                <w:rStyle w:val="Hyperlink"/>
                <w:noProof/>
              </w:rPr>
              <w:t>8</w:t>
            </w:r>
            <w:r>
              <w:rPr>
                <w:rFonts w:eastAsiaTheme="minorEastAsia" w:cstheme="minorBidi"/>
                <w:b w:val="0"/>
                <w:bCs w:val="0"/>
                <w:i w:val="0"/>
                <w:iCs w:val="0"/>
                <w:noProof/>
                <w:kern w:val="2"/>
                <w14:ligatures w14:val="standardContextual"/>
              </w:rPr>
              <w:tab/>
            </w:r>
            <w:r w:rsidRPr="00845877">
              <w:rPr>
                <w:rStyle w:val="Hyperlink"/>
                <w:noProof/>
              </w:rPr>
              <w:t>Appendix B: ISO/IEC18013-5 and ISO/IEC 29100 Privacy Principles</w:t>
            </w:r>
            <w:r>
              <w:rPr>
                <w:noProof/>
                <w:webHidden/>
              </w:rPr>
              <w:tab/>
            </w:r>
            <w:r>
              <w:rPr>
                <w:noProof/>
                <w:webHidden/>
              </w:rPr>
              <w:fldChar w:fldCharType="begin"/>
            </w:r>
            <w:r>
              <w:rPr>
                <w:noProof/>
                <w:webHidden/>
              </w:rPr>
              <w:instrText xml:space="preserve"> PAGEREF _Toc134081102 \h </w:instrText>
            </w:r>
            <w:r>
              <w:rPr>
                <w:noProof/>
                <w:webHidden/>
              </w:rPr>
            </w:r>
            <w:r>
              <w:rPr>
                <w:noProof/>
                <w:webHidden/>
              </w:rPr>
              <w:fldChar w:fldCharType="separate"/>
            </w:r>
            <w:r>
              <w:rPr>
                <w:noProof/>
                <w:webHidden/>
              </w:rPr>
              <w:t>70</w:t>
            </w:r>
            <w:r>
              <w:rPr>
                <w:noProof/>
                <w:webHidden/>
              </w:rPr>
              <w:fldChar w:fldCharType="end"/>
            </w:r>
          </w:hyperlink>
        </w:p>
        <w:p w14:paraId="6B5C0C74" w14:textId="466F365E" w:rsidR="00662C9A" w:rsidRDefault="00662C9A">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34081103" w:history="1">
            <w:r w:rsidRPr="00845877">
              <w:rPr>
                <w:rStyle w:val="Hyperlink"/>
                <w:noProof/>
              </w:rPr>
              <w:t>8.1</w:t>
            </w:r>
            <w:r>
              <w:rPr>
                <w:rFonts w:eastAsiaTheme="minorEastAsia" w:cstheme="minorBidi"/>
                <w:b w:val="0"/>
                <w:bCs w:val="0"/>
                <w:noProof/>
                <w:kern w:val="2"/>
                <w:sz w:val="24"/>
                <w:szCs w:val="24"/>
                <w14:ligatures w14:val="standardContextual"/>
              </w:rPr>
              <w:tab/>
            </w:r>
            <w:r w:rsidRPr="00845877">
              <w:rPr>
                <w:rStyle w:val="Hyperlink"/>
                <w:noProof/>
              </w:rPr>
              <w:t>Principles for Privacy Protection</w:t>
            </w:r>
            <w:r>
              <w:rPr>
                <w:noProof/>
                <w:webHidden/>
              </w:rPr>
              <w:tab/>
            </w:r>
            <w:r>
              <w:rPr>
                <w:noProof/>
                <w:webHidden/>
              </w:rPr>
              <w:fldChar w:fldCharType="begin"/>
            </w:r>
            <w:r>
              <w:rPr>
                <w:noProof/>
                <w:webHidden/>
              </w:rPr>
              <w:instrText xml:space="preserve"> PAGEREF _Toc134081103 \h </w:instrText>
            </w:r>
            <w:r>
              <w:rPr>
                <w:noProof/>
                <w:webHidden/>
              </w:rPr>
            </w:r>
            <w:r>
              <w:rPr>
                <w:noProof/>
                <w:webHidden/>
              </w:rPr>
              <w:fldChar w:fldCharType="separate"/>
            </w:r>
            <w:r>
              <w:rPr>
                <w:noProof/>
                <w:webHidden/>
              </w:rPr>
              <w:t>70</w:t>
            </w:r>
            <w:r>
              <w:rPr>
                <w:noProof/>
                <w:webHidden/>
              </w:rPr>
              <w:fldChar w:fldCharType="end"/>
            </w:r>
          </w:hyperlink>
        </w:p>
        <w:p w14:paraId="448C1B44" w14:textId="4556B98C" w:rsidR="004F61DD" w:rsidRDefault="004F61DD">
          <w:r>
            <w:rPr>
              <w:b/>
              <w:bCs/>
              <w:noProof/>
            </w:rPr>
            <w:fldChar w:fldCharType="end"/>
          </w:r>
        </w:p>
      </w:sdtContent>
    </w:sdt>
    <w:p w14:paraId="3784A9E1" w14:textId="77777777" w:rsidR="000A6003" w:rsidRDefault="000A6003"/>
    <w:p w14:paraId="7775EACF" w14:textId="7F42628D" w:rsidR="00D07F29" w:rsidRDefault="00D07F29">
      <w:r>
        <w:br w:type="page"/>
      </w:r>
    </w:p>
    <w:p w14:paraId="01EC0FBB" w14:textId="77777777" w:rsidR="00FF1DCB" w:rsidRPr="004F61DD" w:rsidRDefault="00FF1DCB" w:rsidP="00095237">
      <w:r w:rsidRPr="004F61DD">
        <w:rPr>
          <w:sz w:val="40"/>
          <w:szCs w:val="40"/>
        </w:rPr>
        <w:lastRenderedPageBreak/>
        <w:t>Contributors</w:t>
      </w:r>
    </w:p>
    <w:p w14:paraId="47CBE7F4" w14:textId="77777777" w:rsidR="00C81CAE" w:rsidRDefault="00C81CAE" w:rsidP="00C81CA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218"/>
        <w:gridCol w:w="2898"/>
        <w:gridCol w:w="2898"/>
      </w:tblGrid>
      <w:tr w:rsidR="006E2AF4" w14:paraId="17CAABA5" w14:textId="77777777" w:rsidTr="00E7491B">
        <w:trPr>
          <w:trHeight w:val="1440"/>
          <w:jc w:val="center"/>
        </w:trPr>
        <w:tc>
          <w:tcPr>
            <w:tcW w:w="2970" w:type="dxa"/>
          </w:tcPr>
          <w:p w14:paraId="41C0BDF7" w14:textId="2ACE4A49" w:rsidR="006E2AF4" w:rsidRDefault="00F15FE4" w:rsidP="00E7491B">
            <w:pPr>
              <w:jc w:val="center"/>
            </w:pPr>
            <w:r>
              <w:rPr>
                <w:noProof/>
              </w:rPr>
              <w:drawing>
                <wp:inline distT="0" distB="0" distL="0" distR="0" wp14:anchorId="4704A457" wp14:editId="32067C0B">
                  <wp:extent cx="1906894" cy="682283"/>
                  <wp:effectExtent l="0" t="0" r="0" b="0"/>
                  <wp:docPr id="1898468033" name="Picture 1" descr="A picture containing font, graphics,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8033" name="Picture 1" descr="A picture containing font, graphics, logo,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3606" cy="688263"/>
                          </a:xfrm>
                          <a:prstGeom prst="rect">
                            <a:avLst/>
                          </a:prstGeom>
                        </pic:spPr>
                      </pic:pic>
                    </a:graphicData>
                  </a:graphic>
                </wp:inline>
              </w:drawing>
            </w:r>
          </w:p>
        </w:tc>
        <w:tc>
          <w:tcPr>
            <w:tcW w:w="2898" w:type="dxa"/>
          </w:tcPr>
          <w:p w14:paraId="1A448646" w14:textId="46DA45B9" w:rsidR="006E2AF4" w:rsidRDefault="00F15FE4" w:rsidP="00F15FE4">
            <w:pPr>
              <w:jc w:val="center"/>
            </w:pPr>
            <w:r>
              <w:rPr>
                <w:noProof/>
              </w:rPr>
              <w:drawing>
                <wp:inline distT="0" distB="0" distL="0" distR="0" wp14:anchorId="3EB1B7FA" wp14:editId="42EBCFA1">
                  <wp:extent cx="914400" cy="914400"/>
                  <wp:effectExtent l="0" t="0" r="0" b="0"/>
                  <wp:docPr id="1505252643" name="Picture 3"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52643" name="Picture 3" descr="A picture containing text, font, screenshot,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010" cy="941010"/>
                          </a:xfrm>
                          <a:prstGeom prst="rect">
                            <a:avLst/>
                          </a:prstGeom>
                        </pic:spPr>
                      </pic:pic>
                    </a:graphicData>
                  </a:graphic>
                </wp:inline>
              </w:drawing>
            </w:r>
          </w:p>
        </w:tc>
        <w:tc>
          <w:tcPr>
            <w:tcW w:w="2898" w:type="dxa"/>
          </w:tcPr>
          <w:p w14:paraId="03B94EF1" w14:textId="77777777" w:rsidR="002C4AA8" w:rsidRDefault="002C4AA8" w:rsidP="00F15FE4"/>
          <w:p w14:paraId="14D057F2" w14:textId="75D32D83" w:rsidR="006E2AF4" w:rsidRDefault="00F15FE4" w:rsidP="00E7491B">
            <w:pPr>
              <w:jc w:val="center"/>
              <w:rPr>
                <w:noProof/>
              </w:rPr>
            </w:pPr>
            <w:r>
              <w:rPr>
                <w:noProof/>
              </w:rPr>
              <w:drawing>
                <wp:inline distT="0" distB="0" distL="0" distR="0" wp14:anchorId="4185E48A" wp14:editId="489D55FA">
                  <wp:extent cx="1357532" cy="439764"/>
                  <wp:effectExtent l="0" t="0" r="1905" b="5080"/>
                  <wp:docPr id="13425657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65729" name="Picture 1342565729"/>
                          <pic:cNvPicPr/>
                        </pic:nvPicPr>
                        <pic:blipFill>
                          <a:blip r:embed="rId10">
                            <a:extLst>
                              <a:ext uri="{28A0092B-C50C-407E-A947-70E740481C1C}">
                                <a14:useLocalDpi xmlns:a14="http://schemas.microsoft.com/office/drawing/2010/main" val="0"/>
                              </a:ext>
                            </a:extLst>
                          </a:blip>
                          <a:stretch>
                            <a:fillRect/>
                          </a:stretch>
                        </pic:blipFill>
                        <pic:spPr>
                          <a:xfrm>
                            <a:off x="0" y="0"/>
                            <a:ext cx="1389065" cy="449979"/>
                          </a:xfrm>
                          <a:prstGeom prst="rect">
                            <a:avLst/>
                          </a:prstGeom>
                        </pic:spPr>
                      </pic:pic>
                    </a:graphicData>
                  </a:graphic>
                </wp:inline>
              </w:drawing>
            </w:r>
          </w:p>
        </w:tc>
      </w:tr>
      <w:tr w:rsidR="006E2AF4" w14:paraId="565DAEB2" w14:textId="77777777" w:rsidTr="00E7491B">
        <w:trPr>
          <w:jc w:val="center"/>
        </w:trPr>
        <w:tc>
          <w:tcPr>
            <w:tcW w:w="2970" w:type="dxa"/>
          </w:tcPr>
          <w:p w14:paraId="55278C6B" w14:textId="77777777" w:rsidR="006E2AF4" w:rsidRDefault="006E2AF4" w:rsidP="00E7491B">
            <w:pPr>
              <w:jc w:val="center"/>
              <w:rPr>
                <w:noProof/>
              </w:rPr>
            </w:pPr>
          </w:p>
          <w:p w14:paraId="5135245D" w14:textId="77777777" w:rsidR="00F15FE4" w:rsidRDefault="00F15FE4" w:rsidP="00F15FE4">
            <w:pPr>
              <w:rPr>
                <w:noProof/>
              </w:rPr>
            </w:pPr>
          </w:p>
          <w:p w14:paraId="6942B68A" w14:textId="68E0A832" w:rsidR="006E2AF4" w:rsidRDefault="00F15FE4" w:rsidP="00E7491B">
            <w:pPr>
              <w:jc w:val="center"/>
              <w:rPr>
                <w:noProof/>
              </w:rPr>
            </w:pPr>
            <w:r>
              <w:fldChar w:fldCharType="begin"/>
            </w:r>
            <w:r>
              <w:instrText xml:space="preserve"> INCLUDEPICTURE "https://openidentityexchange.org/images/logo.png" \* MERGEFORMATINET </w:instrText>
            </w:r>
            <w:r>
              <w:fldChar w:fldCharType="separate"/>
            </w:r>
            <w:r>
              <w:rPr>
                <w:noProof/>
              </w:rPr>
              <w:drawing>
                <wp:inline distT="0" distB="0" distL="0" distR="0" wp14:anchorId="0DA1755C" wp14:editId="0620132E">
                  <wp:extent cx="1588390" cy="233045"/>
                  <wp:effectExtent l="0" t="0" r="0" b="0"/>
                  <wp:docPr id="1376393512" name="Picture 1" descr="Open Identity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Identity Ex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797" cy="257460"/>
                          </a:xfrm>
                          <a:prstGeom prst="rect">
                            <a:avLst/>
                          </a:prstGeom>
                          <a:noFill/>
                          <a:ln>
                            <a:noFill/>
                          </a:ln>
                        </pic:spPr>
                      </pic:pic>
                    </a:graphicData>
                  </a:graphic>
                </wp:inline>
              </w:drawing>
            </w:r>
            <w:r>
              <w:fldChar w:fldCharType="end"/>
            </w:r>
          </w:p>
        </w:tc>
        <w:tc>
          <w:tcPr>
            <w:tcW w:w="2898" w:type="dxa"/>
          </w:tcPr>
          <w:p w14:paraId="25D791B1" w14:textId="77777777" w:rsidR="006E2AF4" w:rsidRDefault="006E2AF4" w:rsidP="00F15FE4">
            <w:pPr>
              <w:rPr>
                <w:noProof/>
              </w:rPr>
            </w:pPr>
          </w:p>
          <w:p w14:paraId="59FCFF0D" w14:textId="0463F118" w:rsidR="006E2AF4" w:rsidRDefault="00F15FE4" w:rsidP="00F15FE4">
            <w:pPr>
              <w:jc w:val="center"/>
              <w:rPr>
                <w:noProof/>
              </w:rPr>
            </w:pPr>
            <w:r>
              <w:rPr>
                <w:noProof/>
              </w:rPr>
              <w:drawing>
                <wp:inline distT="0" distB="0" distL="0" distR="0" wp14:anchorId="0924D0CE" wp14:editId="646B3352">
                  <wp:extent cx="1483555" cy="593422"/>
                  <wp:effectExtent l="0" t="0" r="2540" b="3810"/>
                  <wp:docPr id="1532754148"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54148"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821" cy="601529"/>
                          </a:xfrm>
                          <a:prstGeom prst="rect">
                            <a:avLst/>
                          </a:prstGeom>
                        </pic:spPr>
                      </pic:pic>
                    </a:graphicData>
                  </a:graphic>
                </wp:inline>
              </w:drawing>
            </w:r>
          </w:p>
        </w:tc>
        <w:tc>
          <w:tcPr>
            <w:tcW w:w="2898" w:type="dxa"/>
          </w:tcPr>
          <w:p w14:paraId="59D18810" w14:textId="77777777" w:rsidR="006E2AF4" w:rsidRDefault="006E2AF4" w:rsidP="00E7491B">
            <w:pPr>
              <w:jc w:val="center"/>
              <w:rPr>
                <w:noProof/>
              </w:rPr>
            </w:pPr>
            <w:r>
              <w:rPr>
                <w:noProof/>
              </w:rPr>
              <w:drawing>
                <wp:inline distT="0" distB="0" distL="0" distR="0" wp14:anchorId="40866DFC" wp14:editId="003621C9">
                  <wp:extent cx="1099969" cy="914400"/>
                  <wp:effectExtent l="0" t="0" r="0" b="0"/>
                  <wp:docPr id="693158625" name="Picture 69315862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02275" name="Picture 2"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516" cy="938962"/>
                          </a:xfrm>
                          <a:prstGeom prst="rect">
                            <a:avLst/>
                          </a:prstGeom>
                        </pic:spPr>
                      </pic:pic>
                    </a:graphicData>
                  </a:graphic>
                </wp:inline>
              </w:drawing>
            </w:r>
          </w:p>
        </w:tc>
      </w:tr>
      <w:tr w:rsidR="005B59DC" w14:paraId="1300B855" w14:textId="77777777" w:rsidTr="00E7491B">
        <w:trPr>
          <w:jc w:val="center"/>
        </w:trPr>
        <w:tc>
          <w:tcPr>
            <w:tcW w:w="2970" w:type="dxa"/>
          </w:tcPr>
          <w:p w14:paraId="221F85A6" w14:textId="77777777" w:rsidR="005B59DC" w:rsidRDefault="005B59DC" w:rsidP="00E7491B">
            <w:pPr>
              <w:jc w:val="center"/>
              <w:rPr>
                <w:noProof/>
              </w:rPr>
            </w:pPr>
          </w:p>
          <w:p w14:paraId="15AFD73E" w14:textId="4A9DC871" w:rsidR="005B59DC" w:rsidRDefault="005B59DC" w:rsidP="00E7491B">
            <w:pPr>
              <w:jc w:val="center"/>
              <w:rPr>
                <w:noProof/>
              </w:rPr>
            </w:pPr>
            <w:r>
              <w:rPr>
                <w:noProof/>
              </w:rPr>
              <w:drawing>
                <wp:inline distT="0" distB="0" distL="0" distR="0" wp14:anchorId="10093471" wp14:editId="4C4693B8">
                  <wp:extent cx="766689" cy="1323451"/>
                  <wp:effectExtent l="0" t="0" r="0" b="0"/>
                  <wp:docPr id="1959932202" name="Picture 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32202" name="Picture 3" descr="A picture containing text, font, screenshot, graphic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80476" cy="1347251"/>
                          </a:xfrm>
                          <a:prstGeom prst="rect">
                            <a:avLst/>
                          </a:prstGeom>
                        </pic:spPr>
                      </pic:pic>
                    </a:graphicData>
                  </a:graphic>
                </wp:inline>
              </w:drawing>
            </w:r>
          </w:p>
        </w:tc>
        <w:tc>
          <w:tcPr>
            <w:tcW w:w="2898" w:type="dxa"/>
          </w:tcPr>
          <w:p w14:paraId="15E11E2C" w14:textId="77777777" w:rsidR="005B59DC" w:rsidRDefault="005B59DC" w:rsidP="00F15FE4">
            <w:pPr>
              <w:rPr>
                <w:noProof/>
              </w:rPr>
            </w:pPr>
          </w:p>
        </w:tc>
        <w:tc>
          <w:tcPr>
            <w:tcW w:w="2898" w:type="dxa"/>
          </w:tcPr>
          <w:p w14:paraId="784F3DBF" w14:textId="77777777" w:rsidR="005B59DC" w:rsidRDefault="005B59DC" w:rsidP="00E7491B">
            <w:pPr>
              <w:jc w:val="center"/>
              <w:rPr>
                <w:noProof/>
              </w:rPr>
            </w:pPr>
          </w:p>
        </w:tc>
      </w:tr>
      <w:tr w:rsidR="005B59DC" w14:paraId="2A2EDDF3" w14:textId="77777777" w:rsidTr="00E7491B">
        <w:trPr>
          <w:jc w:val="center"/>
        </w:trPr>
        <w:tc>
          <w:tcPr>
            <w:tcW w:w="2970" w:type="dxa"/>
          </w:tcPr>
          <w:p w14:paraId="6691428C" w14:textId="77777777" w:rsidR="005B59DC" w:rsidRDefault="005B59DC" w:rsidP="00E7491B">
            <w:pPr>
              <w:jc w:val="center"/>
              <w:rPr>
                <w:noProof/>
              </w:rPr>
            </w:pPr>
          </w:p>
        </w:tc>
        <w:tc>
          <w:tcPr>
            <w:tcW w:w="2898" w:type="dxa"/>
          </w:tcPr>
          <w:p w14:paraId="6DB2DA16" w14:textId="77777777" w:rsidR="005B59DC" w:rsidRDefault="005B59DC" w:rsidP="00F15FE4">
            <w:pPr>
              <w:rPr>
                <w:noProof/>
              </w:rPr>
            </w:pPr>
          </w:p>
        </w:tc>
        <w:tc>
          <w:tcPr>
            <w:tcW w:w="2898" w:type="dxa"/>
          </w:tcPr>
          <w:p w14:paraId="0165670C" w14:textId="77777777" w:rsidR="005B59DC" w:rsidRDefault="005B59DC" w:rsidP="00E7491B">
            <w:pPr>
              <w:jc w:val="center"/>
              <w:rPr>
                <w:noProof/>
              </w:rPr>
            </w:pPr>
          </w:p>
        </w:tc>
      </w:tr>
    </w:tbl>
    <w:p w14:paraId="61E79A9C" w14:textId="77777777" w:rsidR="005C6F86" w:rsidRDefault="005C6F86" w:rsidP="005C6F86"/>
    <w:p w14:paraId="7801E073" w14:textId="6443DB2E" w:rsidR="005C6F86" w:rsidRPr="005C6F86" w:rsidRDefault="005C6F86" w:rsidP="005C6F86">
      <w:r w:rsidRPr="005C6F86">
        <w:t xml:space="preserve">Multiple non-profits have made this paper possible, for which we </w:t>
      </w:r>
      <w:r w:rsidR="00980618">
        <w:t>offer</w:t>
      </w:r>
      <w:r w:rsidRPr="005C6F86">
        <w:t xml:space="preserve"> great thanks. </w:t>
      </w:r>
    </w:p>
    <w:p w14:paraId="3C824AB6" w14:textId="77777777" w:rsidR="005C6F86" w:rsidRPr="005C6F86" w:rsidRDefault="005C6F86" w:rsidP="005C6F86"/>
    <w:p w14:paraId="58241F25" w14:textId="51B592EA" w:rsidR="00FF1DCB" w:rsidRDefault="005C6F86" w:rsidP="00FF1DCB">
      <w:r>
        <w:t>In addition, t</w:t>
      </w:r>
      <w:r w:rsidR="00FF1DCB">
        <w:t xml:space="preserve">his paper could not exist without the support of several individuals that offered their time and knowledge to inform the content and themes included here. </w:t>
      </w:r>
    </w:p>
    <w:p w14:paraId="7CCBC0B5" w14:textId="77777777" w:rsidR="00FF1DCB" w:rsidRDefault="00FF1DCB" w:rsidP="00FF1DCB"/>
    <w:p w14:paraId="2FACD0AC" w14:textId="77777777" w:rsidR="00FF1DCB" w:rsidRDefault="00FF1DCB" w:rsidP="00FF1DCB">
      <w:pPr>
        <w:pStyle w:val="ListParagraph"/>
        <w:numPr>
          <w:ilvl w:val="0"/>
          <w:numId w:val="11"/>
        </w:numPr>
      </w:pPr>
      <w:r w:rsidRPr="001D4739">
        <w:t xml:space="preserve">Dr Joseph </w:t>
      </w:r>
      <w:proofErr w:type="spellStart"/>
      <w:r w:rsidRPr="001D4739">
        <w:t>Atick</w:t>
      </w:r>
      <w:proofErr w:type="spellEnd"/>
      <w:r w:rsidRPr="001D4739">
        <w:t>, ID4Africa</w:t>
      </w:r>
    </w:p>
    <w:p w14:paraId="660B9BF2" w14:textId="32C57A42" w:rsidR="001176F6" w:rsidRPr="001D4739" w:rsidRDefault="001176F6" w:rsidP="00FF1DCB">
      <w:pPr>
        <w:pStyle w:val="ListParagraph"/>
        <w:numPr>
          <w:ilvl w:val="0"/>
          <w:numId w:val="11"/>
        </w:numPr>
      </w:pPr>
      <w:r w:rsidRPr="001176F6">
        <w:t xml:space="preserve">Daniel </w:t>
      </w:r>
      <w:proofErr w:type="spellStart"/>
      <w:r w:rsidRPr="001176F6">
        <w:t>Bachenheimer</w:t>
      </w:r>
      <w:proofErr w:type="spellEnd"/>
      <w:r w:rsidRPr="001176F6">
        <w:t>, Accenture</w:t>
      </w:r>
    </w:p>
    <w:p w14:paraId="1FC7B042" w14:textId="77777777" w:rsidR="00A07A73" w:rsidRPr="001D4739" w:rsidRDefault="00A07A73" w:rsidP="00A07A73">
      <w:pPr>
        <w:pStyle w:val="ListParagraph"/>
        <w:numPr>
          <w:ilvl w:val="0"/>
          <w:numId w:val="11"/>
        </w:numPr>
      </w:pPr>
      <w:r w:rsidRPr="001D4739">
        <w:t xml:space="preserve">Vittorio </w:t>
      </w:r>
      <w:proofErr w:type="spellStart"/>
      <w:r w:rsidRPr="001D4739">
        <w:t>Bertocci</w:t>
      </w:r>
      <w:proofErr w:type="spellEnd"/>
      <w:r w:rsidRPr="001D4739">
        <w:t>, Okta, Inc.</w:t>
      </w:r>
    </w:p>
    <w:p w14:paraId="3E198B6B" w14:textId="04CDA9C8" w:rsidR="00A07A73" w:rsidRPr="00F15FE4" w:rsidRDefault="00A07A73" w:rsidP="00FF1DCB">
      <w:pPr>
        <w:pStyle w:val="ListParagraph"/>
        <w:numPr>
          <w:ilvl w:val="0"/>
          <w:numId w:val="11"/>
        </w:numPr>
      </w:pPr>
      <w:r w:rsidRPr="00A07A73">
        <w:rPr>
          <w:color w:val="333333"/>
        </w:rPr>
        <w:t xml:space="preserve">Debora </w:t>
      </w:r>
      <w:proofErr w:type="spellStart"/>
      <w:r w:rsidRPr="00A07A73">
        <w:rPr>
          <w:color w:val="333333"/>
        </w:rPr>
        <w:t>Comparin</w:t>
      </w:r>
      <w:proofErr w:type="spellEnd"/>
      <w:r w:rsidRPr="00A07A73">
        <w:rPr>
          <w:color w:val="333333"/>
        </w:rPr>
        <w:t>, Thales DIS</w:t>
      </w:r>
    </w:p>
    <w:p w14:paraId="1611D3F9" w14:textId="2B87DD5F" w:rsidR="00F15FE4" w:rsidRDefault="00F15FE4" w:rsidP="00FF1DCB">
      <w:pPr>
        <w:pStyle w:val="ListParagraph"/>
        <w:numPr>
          <w:ilvl w:val="0"/>
          <w:numId w:val="11"/>
        </w:numPr>
      </w:pPr>
      <w:r w:rsidRPr="00F15FE4">
        <w:t>Jamie Danker, Venable LLP</w:t>
      </w:r>
    </w:p>
    <w:p w14:paraId="13CE2623" w14:textId="32C802A0" w:rsidR="00FF1DCB" w:rsidRPr="001D4739" w:rsidRDefault="00FF1DCB" w:rsidP="00FF1DCB">
      <w:pPr>
        <w:pStyle w:val="ListParagraph"/>
        <w:numPr>
          <w:ilvl w:val="0"/>
          <w:numId w:val="11"/>
        </w:numPr>
      </w:pPr>
      <w:r w:rsidRPr="001D4739">
        <w:t>Bill Nelson, Identity Fusion, Inc.</w:t>
      </w:r>
    </w:p>
    <w:p w14:paraId="33EA83EA" w14:textId="769AC6FB" w:rsidR="00FF1DCB" w:rsidRPr="001D4739" w:rsidRDefault="00FF1DCB" w:rsidP="00FF1DCB">
      <w:pPr>
        <w:pStyle w:val="ListParagraph"/>
        <w:numPr>
          <w:ilvl w:val="0"/>
          <w:numId w:val="11"/>
        </w:numPr>
      </w:pPr>
      <w:r w:rsidRPr="001D4739">
        <w:t>Gail Hodges, Executive Director</w:t>
      </w:r>
      <w:r w:rsidR="00456990">
        <w:t>,</w:t>
      </w:r>
      <w:r w:rsidRPr="001D4739">
        <w:t xml:space="preserve"> OpenID Foundation </w:t>
      </w:r>
    </w:p>
    <w:p w14:paraId="3788BD47" w14:textId="77777777" w:rsidR="00FF1DCB" w:rsidRPr="001D4739" w:rsidRDefault="00FF1DCB" w:rsidP="00FF1DCB">
      <w:pPr>
        <w:pStyle w:val="ListParagraph"/>
        <w:numPr>
          <w:ilvl w:val="0"/>
          <w:numId w:val="11"/>
        </w:numPr>
      </w:pPr>
      <w:r w:rsidRPr="001D4739">
        <w:t>Mike Kiser, SailPoint Technologies</w:t>
      </w:r>
    </w:p>
    <w:p w14:paraId="01A35EF3" w14:textId="2AD08C23" w:rsidR="00A07A73" w:rsidRDefault="00A07A73" w:rsidP="00A07A73">
      <w:pPr>
        <w:pStyle w:val="ListParagraph"/>
        <w:numPr>
          <w:ilvl w:val="0"/>
          <w:numId w:val="11"/>
        </w:numPr>
      </w:pPr>
      <w:r w:rsidRPr="00A07A73">
        <w:rPr>
          <w:color w:val="333333"/>
        </w:rPr>
        <w:t xml:space="preserve">Stephanie de </w:t>
      </w:r>
      <w:proofErr w:type="spellStart"/>
      <w:r w:rsidRPr="00A07A73">
        <w:rPr>
          <w:color w:val="333333"/>
        </w:rPr>
        <w:t>Labriolle</w:t>
      </w:r>
      <w:proofErr w:type="spellEnd"/>
      <w:r w:rsidRPr="00A07A73">
        <w:rPr>
          <w:color w:val="333333"/>
        </w:rPr>
        <w:t>, Executive Director</w:t>
      </w:r>
      <w:r w:rsidR="00456990">
        <w:rPr>
          <w:color w:val="333333"/>
        </w:rPr>
        <w:t>,</w:t>
      </w:r>
      <w:r w:rsidRPr="00A07A73">
        <w:rPr>
          <w:color w:val="333333"/>
        </w:rPr>
        <w:t xml:space="preserve"> S</w:t>
      </w:r>
      <w:r w:rsidR="009D00CD">
        <w:rPr>
          <w:color w:val="333333"/>
        </w:rPr>
        <w:t>ecure Identity Alliance</w:t>
      </w:r>
      <w:r w:rsidR="00D704E2">
        <w:rPr>
          <w:color w:val="333333"/>
        </w:rPr>
        <w:t xml:space="preserve"> (SIA)</w:t>
      </w:r>
    </w:p>
    <w:p w14:paraId="045B6183" w14:textId="77777777" w:rsidR="00A07A73" w:rsidRDefault="00A07A73" w:rsidP="00A07A73">
      <w:pPr>
        <w:pStyle w:val="ListParagraph"/>
        <w:numPr>
          <w:ilvl w:val="0"/>
          <w:numId w:val="11"/>
        </w:numPr>
      </w:pPr>
      <w:r w:rsidRPr="001D4739">
        <w:t xml:space="preserve">Giuseppe De Marco, </w:t>
      </w:r>
      <w:proofErr w:type="spellStart"/>
      <w:r w:rsidRPr="001D4739">
        <w:t>Dipartimento</w:t>
      </w:r>
      <w:proofErr w:type="spellEnd"/>
      <w:r w:rsidRPr="001D4739">
        <w:t xml:space="preserve"> per la </w:t>
      </w:r>
      <w:proofErr w:type="spellStart"/>
      <w:r w:rsidRPr="001D4739">
        <w:t>trasformazione</w:t>
      </w:r>
      <w:proofErr w:type="spellEnd"/>
      <w:r w:rsidRPr="001D4739">
        <w:t xml:space="preserve"> </w:t>
      </w:r>
      <w:proofErr w:type="spellStart"/>
      <w:r w:rsidRPr="001D4739">
        <w:t>digitale</w:t>
      </w:r>
      <w:proofErr w:type="spellEnd"/>
    </w:p>
    <w:p w14:paraId="281EE4A7" w14:textId="1D2470F2" w:rsidR="00B9782D" w:rsidRPr="001D4739" w:rsidRDefault="00B9782D" w:rsidP="00A07A73">
      <w:pPr>
        <w:pStyle w:val="ListParagraph"/>
        <w:numPr>
          <w:ilvl w:val="0"/>
          <w:numId w:val="11"/>
        </w:numPr>
      </w:pPr>
      <w:r w:rsidRPr="00B9782D">
        <w:t>Drummond Reed, Director, Trust Services</w:t>
      </w:r>
      <w:r>
        <w:t>, Gen Digital</w:t>
      </w:r>
    </w:p>
    <w:p w14:paraId="31C832BD" w14:textId="0F09AFA1" w:rsidR="00A07A73" w:rsidRDefault="00FF1DCB" w:rsidP="00A07A73">
      <w:pPr>
        <w:pStyle w:val="ListParagraph"/>
        <w:numPr>
          <w:ilvl w:val="0"/>
          <w:numId w:val="11"/>
        </w:numPr>
      </w:pPr>
      <w:r w:rsidRPr="001D4739">
        <w:t xml:space="preserve">Rachelle </w:t>
      </w:r>
      <w:proofErr w:type="spellStart"/>
      <w:r w:rsidRPr="001D4739">
        <w:t>Sellung</w:t>
      </w:r>
      <w:proofErr w:type="spellEnd"/>
      <w:r w:rsidRPr="001D4739">
        <w:t>, Fraunhofer Institute</w:t>
      </w:r>
    </w:p>
    <w:p w14:paraId="71778CB8" w14:textId="2B70479B" w:rsidR="00A07A73" w:rsidRPr="00A07A73" w:rsidRDefault="00A07A73" w:rsidP="00A07A73">
      <w:pPr>
        <w:pStyle w:val="ListParagraph"/>
        <w:numPr>
          <w:ilvl w:val="0"/>
          <w:numId w:val="11"/>
        </w:numPr>
      </w:pPr>
      <w:r w:rsidRPr="00A07A73">
        <w:rPr>
          <w:color w:val="333333"/>
        </w:rPr>
        <w:t xml:space="preserve">Kristel </w:t>
      </w:r>
      <w:proofErr w:type="spellStart"/>
      <w:r w:rsidRPr="00A07A73">
        <w:rPr>
          <w:color w:val="333333"/>
        </w:rPr>
        <w:t>Teyras</w:t>
      </w:r>
      <w:proofErr w:type="spellEnd"/>
      <w:r w:rsidRPr="00A07A73">
        <w:rPr>
          <w:color w:val="333333"/>
        </w:rPr>
        <w:t xml:space="preserve">, </w:t>
      </w:r>
      <w:r w:rsidR="009D00CD" w:rsidRPr="00A07A73">
        <w:rPr>
          <w:color w:val="333333"/>
        </w:rPr>
        <w:t>Thales DIS</w:t>
      </w:r>
    </w:p>
    <w:p w14:paraId="19B20D97" w14:textId="1602A5EB" w:rsidR="00A07A73" w:rsidRPr="00A07A73" w:rsidRDefault="00A07A73" w:rsidP="00A07A73">
      <w:pPr>
        <w:pStyle w:val="ListParagraph"/>
        <w:numPr>
          <w:ilvl w:val="0"/>
          <w:numId w:val="11"/>
        </w:numPr>
        <w:sectPr w:rsidR="00A07A73" w:rsidRPr="00A07A73" w:rsidSect="003E7B4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titlePg/>
        </w:sectPr>
      </w:pPr>
      <w:r>
        <w:rPr>
          <w:color w:val="333333"/>
        </w:rPr>
        <w:t>John Wunderlich, Chair, Kantara Privacy Enhancing Mobile Credential Work Group</w:t>
      </w:r>
      <w:r w:rsidRPr="00A07A73">
        <w:rPr>
          <w:color w:val="333333"/>
        </w:rPr>
        <w:br/>
      </w:r>
      <w:r w:rsidRPr="00A07A73">
        <w:rPr>
          <w:color w:val="333333"/>
        </w:rPr>
        <w:br/>
      </w:r>
    </w:p>
    <w:p w14:paraId="67A47386" w14:textId="77777777" w:rsidR="00420823" w:rsidRDefault="00420823" w:rsidP="00420823">
      <w:pPr>
        <w:pStyle w:val="Heading1"/>
      </w:pPr>
      <w:bookmarkStart w:id="1" w:name="_Toc134081041"/>
      <w:r>
        <w:lastRenderedPageBreak/>
        <w:t>About This Paper</w:t>
      </w:r>
      <w:bookmarkEnd w:id="1"/>
      <w:r w:rsidRPr="00420823">
        <w:t xml:space="preserve"> </w:t>
      </w:r>
    </w:p>
    <w:p w14:paraId="5C45AAD3" w14:textId="7EE9BA7E" w:rsidR="00420823" w:rsidRDefault="00420823" w:rsidP="00095237">
      <w:pPr>
        <w:pStyle w:val="Heading2"/>
      </w:pPr>
      <w:bookmarkStart w:id="2" w:name="_Toc134081042"/>
      <w:r>
        <w:t>Scope</w:t>
      </w:r>
      <w:bookmarkEnd w:id="2"/>
    </w:p>
    <w:p w14:paraId="22B19760" w14:textId="49277653" w:rsidR="00420823" w:rsidRDefault="00420823" w:rsidP="00095237">
      <w:r>
        <w:t>This whitepaper is focused on the privacy implications surrounding government-issued digital credentials. In particular, we look at the digital credentials issued by government authorities and intended as a technology that helps enable efficient, privacy-preserving services to people and businesses. Similarly, we consider where legislation and regulation define the individual’s expectation for privacy and establish some of the requirements for the technology. The scope here is global, with a particular focus specifically on digital credentials issued by liberal democratic governments which tend to have more stringent privacy laws and higher expectations of their residents to have their privacy expectations met. The paper does not cover privately issued identity credentials, what governments need to do to provide services to users that do not have government</w:t>
      </w:r>
      <w:r w:rsidR="00316C60">
        <w:t>-</w:t>
      </w:r>
      <w:r>
        <w:t xml:space="preserve">issued identity credentials, or the needs of centralized governments with less focus on privacy. </w:t>
      </w:r>
    </w:p>
    <w:p w14:paraId="01BE11BF" w14:textId="68DC686F" w:rsidR="000A6003" w:rsidRDefault="009D0F65" w:rsidP="00095237">
      <w:pPr>
        <w:pStyle w:val="Heading2"/>
      </w:pPr>
      <w:bookmarkStart w:id="3" w:name="_Toc134081043"/>
      <w:r>
        <w:t>Executive Summary</w:t>
      </w:r>
      <w:bookmarkEnd w:id="3"/>
      <w:r w:rsidR="00420823">
        <w:t xml:space="preserve"> </w:t>
      </w:r>
    </w:p>
    <w:p w14:paraId="4F981160" w14:textId="0D313B6B" w:rsidR="00FA1A0B" w:rsidRDefault="00E9377C" w:rsidP="003B34DD">
      <w:r>
        <w:t xml:space="preserve">Governments around the world are embracing the phrase “digital </w:t>
      </w:r>
      <w:r w:rsidR="0049161A">
        <w:t>identity</w:t>
      </w:r>
      <w:r>
        <w:t xml:space="preserve">.” </w:t>
      </w:r>
      <w:r w:rsidR="0097069F">
        <w:t xml:space="preserve">As the </w:t>
      </w:r>
      <w:r w:rsidR="006F23F0">
        <w:t>authoritative source</w:t>
      </w:r>
      <w:r w:rsidR="0097069F">
        <w:t xml:space="preserve"> for a wealth of personal data (e.g., legal names, dates of birth, citizenship), governments are in a position to improve trust in online </w:t>
      </w:r>
      <w:r w:rsidR="0049161A">
        <w:t xml:space="preserve">and in-person </w:t>
      </w:r>
      <w:r w:rsidR="0097069F">
        <w:t xml:space="preserve">services </w:t>
      </w:r>
      <w:r w:rsidR="00FA1A0B">
        <w:t xml:space="preserve">by issuing digital identity credentials to their citizens and residents and establishing the ground rules for businesses and government agencies to properly use those credentials. </w:t>
      </w:r>
    </w:p>
    <w:p w14:paraId="72A7CEFA" w14:textId="77777777" w:rsidR="00FA1A0B" w:rsidRDefault="00FA1A0B" w:rsidP="003B34DD"/>
    <w:p w14:paraId="47E4FCB7" w14:textId="52AC0545" w:rsidR="0097069F" w:rsidRDefault="00CF62A6" w:rsidP="003B34DD">
      <w:r>
        <w:t xml:space="preserve">The digital identity landscape for government-issued credentials involves trust, both technical and societal, in several dimensions. </w:t>
      </w:r>
      <w:r w:rsidR="00FA1A0B">
        <w:t>Governments cannot act alone in developing a robust, privacy-preserving digital ecosystem. They must work with technologists and civil society conversant with privacy concerns and technological possibilities. And, of course, they must work with their citizens and residents to ensure their needs and expectations are met when it comes to the privacy implications of an increasingly digitally focused world.</w:t>
      </w:r>
    </w:p>
    <w:p w14:paraId="2BC2BDFD" w14:textId="77777777" w:rsidR="00FA1A0B" w:rsidRDefault="00FA1A0B" w:rsidP="003B34DD"/>
    <w:p w14:paraId="1DB0F471" w14:textId="34C1395C" w:rsidR="00FA1A0B" w:rsidRDefault="00FA1A0B" w:rsidP="003B34DD">
      <w:r>
        <w:t xml:space="preserve">This paper offers a </w:t>
      </w:r>
      <w:r w:rsidR="006B1859">
        <w:t>sampling</w:t>
      </w:r>
      <w:r>
        <w:t xml:space="preserve"> of where and how government-issued digital credentials are used, what standards and regulations support them, and </w:t>
      </w:r>
      <w:r w:rsidR="006B1859">
        <w:t xml:space="preserve">where work still needs to be done to live up to the promises of a safer, more efficient world. It is intended for government policymakers, civil society members, and technologists so that each group gains a better understanding of what is happening outside their particular silos. </w:t>
      </w:r>
    </w:p>
    <w:p w14:paraId="10E53C18" w14:textId="77777777" w:rsidR="005435FE" w:rsidRDefault="005435FE" w:rsidP="003B34DD"/>
    <w:p w14:paraId="210BA247" w14:textId="0056A450" w:rsidR="005435FE" w:rsidRDefault="005435FE" w:rsidP="003B34DD">
      <w:r>
        <w:t xml:space="preserve">There are several recommendations provided. We start by recommending improvements around the security and privacy posture of the systems involved in the issuance, storage, verification, and use of government-issued digital credentials. There are several resources </w:t>
      </w:r>
      <w:r>
        <w:lastRenderedPageBreak/>
        <w:t xml:space="preserve">to guide governments and services towards better data hygiene such as NIST Cybersecurity Framework and the proposed EU Cyber Resilience Act. </w:t>
      </w:r>
      <w:r w:rsidR="00276017">
        <w:t xml:space="preserve">Managing the basics, however, falls in the “necessary but not sufficient” category. There must also be </w:t>
      </w:r>
      <w:r>
        <w:t>a recognition of ongoing concern</w:t>
      </w:r>
      <w:r w:rsidR="00276017">
        <w:t>s around surveillance, the challenges of diversity, equity, and inclusion, the grey areas of legality, and the sustainability of legal protections in the face of changing administrations.</w:t>
      </w:r>
    </w:p>
    <w:p w14:paraId="43E02490" w14:textId="77777777" w:rsidR="00276017" w:rsidRDefault="00276017" w:rsidP="003B34DD"/>
    <w:p w14:paraId="320EDFA5" w14:textId="0EDD137F" w:rsidR="00276017" w:rsidRDefault="00276017" w:rsidP="003B34DD">
      <w:r>
        <w:t>With new technologies come new concerns, and this is true for digital identity credentials as well. An increased dependency on them provides another vector for attack during digital warfare. Deepfakes also add new threats to the ability to verify remote use of credentials; it is an example of one entry in a digital arms race.</w:t>
      </w:r>
    </w:p>
    <w:p w14:paraId="098DB6B6" w14:textId="77777777" w:rsidR="00CF62A6" w:rsidRDefault="00CF62A6" w:rsidP="003B34DD"/>
    <w:p w14:paraId="5437D1BF" w14:textId="16EA3242" w:rsidR="00CF62A6" w:rsidRDefault="00CF62A6" w:rsidP="003B34DD">
      <w:r>
        <w:t xml:space="preserve">In all cases, governments, technologists, and civil society members must keep in mind the reality of </w:t>
      </w:r>
      <w:r w:rsidR="00F30F75">
        <w:t xml:space="preserve">what is reasonable to expect from the individuals participating in this ecosystem. Individuals must be offered choices, but those choices should in turn be clear, actionable, and straightforward, with protecting the privacy of their data being the easiest option. </w:t>
      </w:r>
    </w:p>
    <w:p w14:paraId="28B7020A" w14:textId="77777777" w:rsidR="00FA1A0B" w:rsidRDefault="00FA1A0B" w:rsidP="003B34DD"/>
    <w:p w14:paraId="6DD91BC6" w14:textId="550F6113" w:rsidR="00420823" w:rsidRPr="00420823" w:rsidRDefault="00303A8B" w:rsidP="00095237">
      <w:r>
        <w:t>Ultimately, the goal of this paper is t</w:t>
      </w:r>
      <w:r w:rsidR="00E9377C" w:rsidRPr="00E9377C">
        <w:t xml:space="preserve">o engage and inspire a community of thought leaders to </w:t>
      </w:r>
      <w:r>
        <w:t xml:space="preserve">come together to </w:t>
      </w:r>
      <w:r w:rsidR="00E9377C" w:rsidRPr="00E9377C">
        <w:t xml:space="preserve">develop a path forward for government-issued </w:t>
      </w:r>
      <w:r w:rsidR="00E9377C">
        <w:t>digital identity</w:t>
      </w:r>
      <w:r w:rsidR="00E9377C" w:rsidRPr="00E9377C">
        <w:t xml:space="preserve"> credentials</w:t>
      </w:r>
      <w:r>
        <w:t>. We must work together</w:t>
      </w:r>
      <w:r w:rsidR="00E9377C" w:rsidRPr="00E9377C">
        <w:t xml:space="preserve"> to close the policy and protocol gaps that exist between today’s reality and the goal of a privacy-preserving, globally and at Internet-scale.</w:t>
      </w:r>
    </w:p>
    <w:p w14:paraId="63488C27" w14:textId="4A0BF523" w:rsidR="000A6003" w:rsidRDefault="009D0F65">
      <w:pPr>
        <w:pStyle w:val="Heading1"/>
      </w:pPr>
      <w:bookmarkStart w:id="4" w:name="_Toc134081044"/>
      <w:r>
        <w:t>Intro</w:t>
      </w:r>
      <w:r w:rsidR="00420823">
        <w:t>duction</w:t>
      </w:r>
      <w:bookmarkEnd w:id="4"/>
    </w:p>
    <w:p w14:paraId="7135A216" w14:textId="3399165E" w:rsidR="000A6003" w:rsidRDefault="009D0F65">
      <w:r>
        <w:t>Governments around the world are moving towards issuing digital credentials to their citizens</w:t>
      </w:r>
      <w:r w:rsidR="00282601">
        <w:t xml:space="preserve"> and registered residents</w:t>
      </w:r>
      <w:r w:rsidR="00675D84">
        <w:t>; sometimes slowly in various pilot phases, other times as a well-funded mandate that is already becoming ubiquitous in local populations</w:t>
      </w:r>
      <w:r>
        <w:t xml:space="preserve">. </w:t>
      </w:r>
      <w:r w:rsidR="00282601">
        <w:t>Individuals</w:t>
      </w:r>
      <w:r>
        <w:t xml:space="preserve"> are growing to expect the level of convenience and control in having everything they need on their mobile devices, and governments are finding that technology allows them to be more efficient and responsive to </w:t>
      </w:r>
      <w:r w:rsidR="00282601">
        <w:t>the needs of their citizens, residents, businesses, and themselves</w:t>
      </w:r>
      <w:r w:rsidR="003B34DD">
        <w:t xml:space="preserve">. </w:t>
      </w:r>
      <w:r w:rsidR="00282601">
        <w:t>Organizations</w:t>
      </w:r>
      <w:r>
        <w:t xml:space="preserve"> in the private sector are</w:t>
      </w:r>
      <w:r w:rsidR="00282601">
        <w:t xml:space="preserve"> also</w:t>
      </w:r>
      <w:r>
        <w:t xml:space="preserve"> </w:t>
      </w:r>
      <w:r w:rsidR="00060598">
        <w:t>considering how to take advantage of</w:t>
      </w:r>
      <w:r>
        <w:t xml:space="preserve"> these new</w:t>
      </w:r>
      <w:r w:rsidR="00AD6391">
        <w:t xml:space="preserve"> credentials. The credentials have an inherently higher value, thanks to required identity assurance levels, but come with </w:t>
      </w:r>
      <w:r w:rsidR="0035479C">
        <w:t>privacy risks as businesses consider what it means to balance the need to know their customers with the risk of knowing too much and being held accountable for that data.</w:t>
      </w:r>
      <w:r>
        <w:t xml:space="preserve"> </w:t>
      </w:r>
    </w:p>
    <w:p w14:paraId="08B14B05" w14:textId="77777777" w:rsidR="00FA1A0B" w:rsidRDefault="00FA1A0B"/>
    <w:p w14:paraId="1C9F61E7" w14:textId="68E5140E" w:rsidR="00FA1A0B" w:rsidRDefault="00FA1A0B">
      <w:r>
        <w:t xml:space="preserve">Digital credentials, at their most general, are digital files containing information about an individual. When created in accordance with various standards as mentioned in this paper, they are designed to be tamper-proof and allow an individual to choose what information they disclose to services requesting data included in that credential. </w:t>
      </w:r>
    </w:p>
    <w:p w14:paraId="319811BE" w14:textId="77777777" w:rsidR="000A6003" w:rsidRDefault="000A6003"/>
    <w:p w14:paraId="095A57FD" w14:textId="3424730C" w:rsidR="006B010D" w:rsidRDefault="006B010D">
      <w:r>
        <w:lastRenderedPageBreak/>
        <w:t xml:space="preserve">What separates most, if not all, government-issued credentials from others </w:t>
      </w:r>
      <w:proofErr w:type="gramStart"/>
      <w:r>
        <w:t>is</w:t>
      </w:r>
      <w:proofErr w:type="gramEnd"/>
      <w:r>
        <w:t xml:space="preserve"> that a government-issued credential conveys legal identity. Additionally, when done properly, government-issued credentials establish uniqueness within the population it serves (e.g., country, region, province, state) and is both accurate and authentic, in other words, an </w:t>
      </w:r>
      <w:r w:rsidR="006F23F0">
        <w:t>a</w:t>
      </w:r>
      <w:r>
        <w:t xml:space="preserve">uthoritative </w:t>
      </w:r>
      <w:r w:rsidR="006F23F0">
        <w:t>s</w:t>
      </w:r>
      <w:r>
        <w:t xml:space="preserve">ource. </w:t>
      </w:r>
    </w:p>
    <w:p w14:paraId="3BC6AB64" w14:textId="77777777" w:rsidR="006B010D" w:rsidRDefault="006B010D"/>
    <w:p w14:paraId="470D9CCC" w14:textId="3FA210FF" w:rsidR="006B010D" w:rsidRDefault="009D0F65">
      <w:r>
        <w:t xml:space="preserve">In the initial stages, government-issued digital credentials often take the form of digitizing existing physical credentials like </w:t>
      </w:r>
      <w:r w:rsidR="00060598">
        <w:t>transit</w:t>
      </w:r>
      <w:r>
        <w:t xml:space="preserve"> cards, vaccination records, and driver's licenses. But with the promise of more—more features, more data, more utility—the relatively simple digitized replicas are moving towards pure digital credentials (i.e., credentials that do not have a physical analog and exist only in electronic records).</w:t>
      </w:r>
      <w:r w:rsidR="00AD6391">
        <w:t xml:space="preserve"> </w:t>
      </w:r>
      <w:r w:rsidR="006B010D">
        <w:t>Perhaps the best-known government</w:t>
      </w:r>
      <w:r w:rsidR="00316C60">
        <w:t>-</w:t>
      </w:r>
      <w:r w:rsidR="006B010D">
        <w:t>issued digital credential is the electronic passport the standards for which were established in 1995 by the International Civil Aviation Organization (ICAO)</w:t>
      </w:r>
      <w:r w:rsidR="006B010D">
        <w:rPr>
          <w:rStyle w:val="FootnoteReference"/>
        </w:rPr>
        <w:footnoteReference w:id="1"/>
      </w:r>
      <w:r w:rsidR="006B010D">
        <w:t xml:space="preserve">. This digital credential contains cryptographically verifiable identity information but, as we will see, does not support selective disclosure and may or may not contain a biometric taken live of sufficient quality for automated facial recognition making questionable as an </w:t>
      </w:r>
      <w:r w:rsidR="006F23F0">
        <w:t>a</w:t>
      </w:r>
      <w:r w:rsidR="006B010D">
        <w:t xml:space="preserve">uthoritative </w:t>
      </w:r>
      <w:r w:rsidR="006F23F0">
        <w:t>s</w:t>
      </w:r>
      <w:r w:rsidR="006B010D">
        <w:t xml:space="preserve">ource. </w:t>
      </w:r>
    </w:p>
    <w:p w14:paraId="53832428" w14:textId="77777777" w:rsidR="006B010D" w:rsidRDefault="006B010D"/>
    <w:p w14:paraId="31ED614B" w14:textId="69ED6686" w:rsidR="000A6003" w:rsidRDefault="00AD6391">
      <w:r>
        <w:t>The World Bank describes the evolution this way: “</w:t>
      </w:r>
      <w:r w:rsidRPr="00AD6391">
        <w:t>As societies become more digital, we have begun to see a move toward digital-only ID systems that do not rely on the possession of a physical credential.”</w:t>
      </w:r>
      <w:r>
        <w:rPr>
          <w:rStyle w:val="FootnoteReference"/>
        </w:rPr>
        <w:footnoteReference w:id="2"/>
      </w:r>
      <w:r w:rsidR="009D0F65">
        <w:t xml:space="preserve"> Digital credentials offer a more dynamic set of information, easily </w:t>
      </w:r>
      <w:proofErr w:type="gramStart"/>
      <w:r w:rsidR="009D0F65">
        <w:t>updated</w:t>
      </w:r>
      <w:proofErr w:type="gramEnd"/>
      <w:r w:rsidR="009D0F65">
        <w:t xml:space="preserve"> and expanded to meet the needs of the moment. With so much data becoming readily available, it is an understandable next step to use that data in new and creative ways, with increasing implications for individual privacy.</w:t>
      </w:r>
    </w:p>
    <w:p w14:paraId="453FEB65" w14:textId="77777777" w:rsidR="00F12243" w:rsidRDefault="00F12243"/>
    <w:p w14:paraId="0FC3A61F" w14:textId="77777777" w:rsidR="00F12243" w:rsidRDefault="00F12243" w:rsidP="00095237">
      <w:pPr>
        <w:keepNext/>
      </w:pPr>
      <w:r>
        <w:fldChar w:fldCharType="begin"/>
      </w:r>
      <w:r>
        <w:instrText xml:space="preserve"> INCLUDEPICTURE "https://id4d.worldbank.org/sites/id4d-ms8.extcc.com/files/inline-images/Figure%2027.png" \* MERGEFORMATINET </w:instrText>
      </w:r>
      <w:r>
        <w:fldChar w:fldCharType="separate"/>
      </w:r>
      <w:r>
        <w:rPr>
          <w:noProof/>
        </w:rPr>
        <w:drawing>
          <wp:inline distT="0" distB="0" distL="0" distR="0" wp14:anchorId="1C6B063A" wp14:editId="2BE3D0C6">
            <wp:extent cx="5943600" cy="1289685"/>
            <wp:effectExtent l="0" t="0" r="0" b="5715"/>
            <wp:docPr id="1165029175" name="Picture 1" descr="Types of credentials and authent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credentials and authenticato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289685"/>
                    </a:xfrm>
                    <a:prstGeom prst="rect">
                      <a:avLst/>
                    </a:prstGeom>
                    <a:noFill/>
                    <a:ln>
                      <a:noFill/>
                    </a:ln>
                  </pic:spPr>
                </pic:pic>
              </a:graphicData>
            </a:graphic>
          </wp:inline>
        </w:drawing>
      </w:r>
      <w:r>
        <w:fldChar w:fldCharType="end"/>
      </w:r>
    </w:p>
    <w:p w14:paraId="3D8A78FB" w14:textId="7272AEF8" w:rsidR="00F12243" w:rsidRDefault="00F12243" w:rsidP="0009523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w:t>
      </w:r>
      <w:r w:rsidRPr="00F12243">
        <w:rPr>
          <w:b/>
          <w:bCs/>
        </w:rPr>
        <w:t>Examples of credentials and authenticators commonly issued by foundational ID systems</w:t>
      </w:r>
      <w:r>
        <w:rPr>
          <w:rStyle w:val="FootnoteReference"/>
          <w:b/>
          <w:bCs/>
        </w:rPr>
        <w:footnoteReference w:id="3"/>
      </w:r>
    </w:p>
    <w:p w14:paraId="7ABA47B8" w14:textId="77777777" w:rsidR="000A6003" w:rsidRDefault="000A6003"/>
    <w:p w14:paraId="7FC6FBA3" w14:textId="0AC5E8EA" w:rsidR="00E10E50" w:rsidRDefault="009D0F65">
      <w:r>
        <w:t>Government stakeholders are feeling the privacy implications</w:t>
      </w:r>
      <w:r w:rsidR="0035479C">
        <w:t xml:space="preserve"> </w:t>
      </w:r>
      <w:r w:rsidR="0035479C" w:rsidRPr="0035479C">
        <w:t>around the digital economy in general, and more recently around government</w:t>
      </w:r>
      <w:r w:rsidR="0035479C">
        <w:t>-</w:t>
      </w:r>
      <w:r w:rsidR="0035479C" w:rsidRPr="0035479C">
        <w:t xml:space="preserve">issued </w:t>
      </w:r>
      <w:r w:rsidR="0035479C">
        <w:t>digital</w:t>
      </w:r>
      <w:r w:rsidR="0035479C" w:rsidRPr="0035479C">
        <w:t xml:space="preserve"> credentials </w:t>
      </w:r>
      <w:r w:rsidR="00E10E50">
        <w:t>in specific</w:t>
      </w:r>
      <w:r>
        <w:t>. Governments themselves are looking for ways to establish effective privacy legislation while taking into consideration matters of public safety</w:t>
      </w:r>
      <w:r w:rsidR="00E10E50">
        <w:t xml:space="preserve">, consumer protection, and data </w:t>
      </w:r>
      <w:r w:rsidR="00E10E50">
        <w:lastRenderedPageBreak/>
        <w:t xml:space="preserve">security. Civil society similarly wants to see additional legal and technologically enforceable protections around privacy but with the additional scope to make sure those protections encompass both government and private sector actions. </w:t>
      </w:r>
    </w:p>
    <w:p w14:paraId="05A8EF29" w14:textId="77777777" w:rsidR="00E10E50" w:rsidRDefault="00E10E50"/>
    <w:p w14:paraId="575E5700" w14:textId="65850D61" w:rsidR="000A6003" w:rsidRDefault="009D0F65">
      <w:r>
        <w:t>Well-publicized data breaches in both the government and private sectors leave individuals and members of civil society concerned about the risk of their personal information being exposed.</w:t>
      </w:r>
      <w:r>
        <w:rPr>
          <w:vertAlign w:val="superscript"/>
        </w:rPr>
        <w:footnoteReference w:id="4"/>
      </w:r>
      <w:r>
        <w:t xml:space="preserve"> Equally, there is the concern that the government will use </w:t>
      </w:r>
      <w:r w:rsidR="004E4C4F">
        <w:t xml:space="preserve">the personal data they hold in combination with new data they collect about where, when, and how government-issued credentials are used </w:t>
      </w:r>
      <w:r>
        <w:t xml:space="preserve">as a means of surveillance. As a result, privacy advocates and everyday </w:t>
      </w:r>
      <w:r w:rsidR="0035479C">
        <w:t>people</w:t>
      </w:r>
      <w:r>
        <w:t xml:space="preserve"> react strongly and negatively when taken by surprise at the perceived expansive scope of how government agencies and third parties may use these new credentials in their lives.</w:t>
      </w:r>
      <w:r w:rsidR="00E63096">
        <w:rPr>
          <w:rStyle w:val="FootnoteReference"/>
        </w:rPr>
        <w:footnoteReference w:id="5"/>
      </w:r>
      <w:r>
        <w:t xml:space="preserve"> </w:t>
      </w:r>
    </w:p>
    <w:p w14:paraId="593C9043" w14:textId="77777777" w:rsidR="000A6003" w:rsidRDefault="000A6003"/>
    <w:p w14:paraId="57724A04" w14:textId="3C5F412B" w:rsidR="00132EBC" w:rsidRDefault="009D0F65">
      <w:r>
        <w:t xml:space="preserve">What is often missing from the conversation, however, is that no single party involved in an identity ecosystem, including governments, should be fully trusted when it comes to individual data. While it is true that government-issued credentials have special privacy considerations due to their inclusion of verified personal data, the literature in this space </w:t>
      </w:r>
      <w:r w:rsidR="000947AD">
        <w:t>often overlooks</w:t>
      </w:r>
      <w:r>
        <w:t xml:space="preserve"> that identity systems are, at minimum, </w:t>
      </w:r>
      <w:r w:rsidR="007E082C">
        <w:t xml:space="preserve">require </w:t>
      </w:r>
      <w:r>
        <w:t>a multi-</w:t>
      </w:r>
      <w:r w:rsidR="007E082C">
        <w:t xml:space="preserve">party </w:t>
      </w:r>
      <w:r>
        <w:t>trust model</w:t>
      </w:r>
      <w:r w:rsidR="007E082C">
        <w:t xml:space="preserve"> where the different parties may not be at the same maturity levels when it comes to technical capability</w:t>
      </w:r>
      <w:r>
        <w:t>.</w:t>
      </w:r>
      <w:r w:rsidR="00132EBC">
        <w:t xml:space="preserve"> </w:t>
      </w:r>
    </w:p>
    <w:p w14:paraId="47BB061B" w14:textId="77777777" w:rsidR="00132EBC" w:rsidRDefault="00132EBC"/>
    <w:p w14:paraId="737F23D7" w14:textId="4D8378B8" w:rsidR="000947AD" w:rsidRDefault="00132EBC">
      <w:r>
        <w:t>One element often overlooked is that governments are typically responsible for establishing legal, or foundational, identity which includes establishing uniqueness within the target population as stated above. This requires a certain amount of personal data, typically biometric, to be centrally maintained in order to de-duplicate identities in a process referred to as identity resolution. With an established legal, or foundational, identity, contextual, or functional, identities can be derived.</w:t>
      </w:r>
      <w:r w:rsidR="009D0F65">
        <w:t xml:space="preserve"> Privacy requirements exist between the </w:t>
      </w:r>
      <w:r>
        <w:t xml:space="preserve">foundational </w:t>
      </w:r>
      <w:r w:rsidR="009D0F65">
        <w:t>credential issuer (in our case, the government),</w:t>
      </w:r>
      <w:r>
        <w:t xml:space="preserve"> functional credential issuers (e.g., voter registries, banks, schools), and</w:t>
      </w:r>
      <w:r w:rsidR="009D0F65">
        <w:t xml:space="preserve"> the credential consumer (such a governmental agency, private business, or another individual), the device and app or wallet holding the credential, and the individual. </w:t>
      </w:r>
    </w:p>
    <w:p w14:paraId="56D07A47" w14:textId="77777777" w:rsidR="000947AD" w:rsidRDefault="000947AD"/>
    <w:p w14:paraId="03773E73" w14:textId="6F8EDD66" w:rsidR="000A6003" w:rsidRDefault="000947AD">
      <w:r>
        <w:t xml:space="preserve">In addition to the considerations of governance, there are the complications coming from the technological complexity and myriad implementations. The concerns that civil society </w:t>
      </w:r>
      <w:r>
        <w:lastRenderedPageBreak/>
        <w:t xml:space="preserve">brings to the table about the potential for government surveillance and for private entity misuse of data further establishes that no one component can be trusted on its own. </w:t>
      </w:r>
    </w:p>
    <w:p w14:paraId="10A368AB" w14:textId="77777777" w:rsidR="000A6003" w:rsidRDefault="000A6003"/>
    <w:p w14:paraId="76061C46" w14:textId="415B0235" w:rsidR="000A6003" w:rsidRDefault="00C52CDF">
      <w:r w:rsidRPr="00C52CDF">
        <w:t xml:space="preserve">Beyond the need for multi-party trust models that can work within and across jurisdictions, there is the issue of user experience itself. The design of each user flow can itself help users make wise and privacy preserving </w:t>
      </w:r>
      <w:r w:rsidR="004F3EF4" w:rsidRPr="00C52CDF">
        <w:t>choices</w:t>
      </w:r>
      <w:r w:rsidR="004F3EF4">
        <w:t xml:space="preserve"> or</w:t>
      </w:r>
      <w:r w:rsidRPr="00C52CDF">
        <w:t xml:space="preserve"> mislead users and undermine those choices</w:t>
      </w:r>
      <w:r>
        <w:t>. The gaps between the technological realities of what is possible with technology today, the privacy demands in legislation and regulation, and government requirements for verified identities are wide and yet,</w:t>
      </w:r>
      <w:r w:rsidR="00981DB4">
        <w:t xml:space="preserve"> are often lost in the complexity of the digital ecosystem by the stakeholders focused on their pieces of the puzzle.</w:t>
      </w:r>
      <w:r>
        <w:t xml:space="preserve"> </w:t>
      </w:r>
    </w:p>
    <w:p w14:paraId="0106D9C7" w14:textId="77777777" w:rsidR="000A6003" w:rsidRDefault="000A6003"/>
    <w:p w14:paraId="7EDD55E5" w14:textId="5E670CD1" w:rsidR="000A6003" w:rsidRDefault="009D0F65">
      <w:r>
        <w:t xml:space="preserve">To understand what it will take to get to a more privacy-preserving future for government-issued digital identity credentials, we first have to understand the landscape today. In “Getting There from Here,” </w:t>
      </w:r>
      <w:r w:rsidR="00A53C01">
        <w:t xml:space="preserve">we will </w:t>
      </w:r>
      <w:r>
        <w:t>take a look at the current privacy landscape and the state of government-issued and associated derived credentials in several countries and localities around the world. We</w:t>
      </w:r>
      <w:r w:rsidR="00A53C01">
        <w:t xml:space="preserve"> wi</w:t>
      </w:r>
      <w:r>
        <w:t xml:space="preserve">ll also consider the key issues being encountered with biometrics, data minimization, privacy legislation, user control, </w:t>
      </w:r>
      <w:r w:rsidR="00D07F29">
        <w:t xml:space="preserve">and </w:t>
      </w:r>
      <w:r>
        <w:t>relying party reliability and accountability. The digital transformation underway offers several promises to improve individual privacy and the usability of digital credentials, and we</w:t>
      </w:r>
      <w:r w:rsidR="00A53C01">
        <w:t xml:space="preserve"> wi</w:t>
      </w:r>
      <w:r>
        <w:t>ll review what promises are being made and to whom.</w:t>
      </w:r>
    </w:p>
    <w:p w14:paraId="0C3531A6" w14:textId="77777777" w:rsidR="000A6003" w:rsidRDefault="000A6003"/>
    <w:p w14:paraId="77261838" w14:textId="3216BC73" w:rsidR="000A6003" w:rsidRDefault="009D0F65">
      <w:pPr>
        <w:rPr>
          <w:rFonts w:ascii="Calibri" w:eastAsia="Calibri" w:hAnsi="Calibri" w:cs="Calibri"/>
          <w:sz w:val="24"/>
        </w:rPr>
      </w:pPr>
      <w:r>
        <w:t xml:space="preserve">Providing digital credentials to </w:t>
      </w:r>
      <w:r w:rsidR="0035479C">
        <w:t>individuals</w:t>
      </w:r>
      <w:r>
        <w:t xml:space="preserve"> opens the door to a world of potential, but there are many gaps and risks involved in the journey. In the section “Gaps and Risks,” </w:t>
      </w:r>
      <w:r w:rsidR="00A53C01">
        <w:t xml:space="preserve">we will </w:t>
      </w:r>
      <w:r>
        <w:t>look at what it will take to fulfill those promises at Internet scale. From policy considerations to protocol changes, there are no silver bullets to meeting the needs of all the stakeholders involved, but there are positive steps that both policy-makers and civil society can make to move towards a more privacy-respecting future.</w:t>
      </w:r>
    </w:p>
    <w:p w14:paraId="02C32D35" w14:textId="77777777" w:rsidR="00095237" w:rsidRDefault="00095237">
      <w:pPr>
        <w:spacing w:line="276" w:lineRule="auto"/>
        <w:rPr>
          <w:rFonts w:eastAsia="Calibri"/>
          <w:sz w:val="32"/>
          <w:szCs w:val="32"/>
        </w:rPr>
      </w:pPr>
      <w:r>
        <w:rPr>
          <w:rFonts w:eastAsia="Calibri"/>
        </w:rPr>
        <w:br w:type="page"/>
      </w:r>
    </w:p>
    <w:p w14:paraId="011BD28A" w14:textId="4B832F87" w:rsidR="00770211" w:rsidRDefault="00770211" w:rsidP="00095237">
      <w:pPr>
        <w:pStyle w:val="Heading2"/>
      </w:pPr>
      <w:bookmarkStart w:id="5" w:name="_Toc134081045"/>
      <w:r>
        <w:rPr>
          <w:rFonts w:eastAsia="Calibri"/>
        </w:rPr>
        <w:lastRenderedPageBreak/>
        <w:t>Terms and Definitions</w:t>
      </w:r>
      <w:bookmarkEnd w:id="5"/>
    </w:p>
    <w:p w14:paraId="46F484A4" w14:textId="5A7F2490" w:rsidR="00770211" w:rsidRDefault="00770211" w:rsidP="00770211">
      <w:r w:rsidRPr="00770211">
        <w:t>This document uses the following terms as the shortcut for more complete wording provided as the definition. When the term appears within this document, it should be read as being replaced by the definition</w:t>
      </w:r>
      <w:r>
        <w:t xml:space="preserve">. </w:t>
      </w:r>
      <w:r w:rsidR="00CF26D0">
        <w:t xml:space="preserve">In several cases, the definitions are extrapolated from a variety of sources as </w:t>
      </w:r>
      <w:r w:rsidR="00A92874">
        <w:t>governments, technologists, civil society members, researchers, and linguists do not always agree on a given term.</w:t>
      </w:r>
      <w:r w:rsidR="00CF26D0">
        <w:t xml:space="preserve"> </w:t>
      </w:r>
    </w:p>
    <w:p w14:paraId="703D1F18" w14:textId="77777777" w:rsidR="00A92874" w:rsidRDefault="00A92874" w:rsidP="00770211"/>
    <w:tbl>
      <w:tblPr>
        <w:tblStyle w:val="TableGrid"/>
        <w:tblW w:w="0" w:type="auto"/>
        <w:tblLook w:val="04A0" w:firstRow="1" w:lastRow="0" w:firstColumn="1" w:lastColumn="0" w:noHBand="0" w:noVBand="1"/>
      </w:tblPr>
      <w:tblGrid>
        <w:gridCol w:w="1975"/>
        <w:gridCol w:w="7375"/>
      </w:tblGrid>
      <w:tr w:rsidR="00A92874" w:rsidRPr="0078741D" w14:paraId="1D3F49B8" w14:textId="77777777" w:rsidTr="00095237">
        <w:tc>
          <w:tcPr>
            <w:tcW w:w="1975" w:type="dxa"/>
            <w:shd w:val="clear" w:color="auto" w:fill="DBE5F1" w:themeFill="accent1" w:themeFillTint="33"/>
          </w:tcPr>
          <w:p w14:paraId="545E7F43" w14:textId="4A330E6F" w:rsidR="00A92874" w:rsidRPr="00095237" w:rsidRDefault="00A92874" w:rsidP="00770211">
            <w:pPr>
              <w:rPr>
                <w:b/>
                <w:bCs/>
                <w:sz w:val="20"/>
                <w:szCs w:val="20"/>
              </w:rPr>
            </w:pPr>
            <w:r w:rsidRPr="00095237">
              <w:rPr>
                <w:b/>
                <w:bCs/>
                <w:sz w:val="20"/>
                <w:szCs w:val="20"/>
              </w:rPr>
              <w:t>Term</w:t>
            </w:r>
          </w:p>
        </w:tc>
        <w:tc>
          <w:tcPr>
            <w:tcW w:w="7375" w:type="dxa"/>
            <w:shd w:val="clear" w:color="auto" w:fill="DBE5F1" w:themeFill="accent1" w:themeFillTint="33"/>
          </w:tcPr>
          <w:p w14:paraId="484514E4" w14:textId="5CF10097" w:rsidR="00A92874" w:rsidRPr="00095237" w:rsidRDefault="00A92874" w:rsidP="00770211">
            <w:pPr>
              <w:rPr>
                <w:b/>
                <w:bCs/>
                <w:sz w:val="20"/>
                <w:szCs w:val="20"/>
              </w:rPr>
            </w:pPr>
            <w:r w:rsidRPr="00095237">
              <w:rPr>
                <w:b/>
                <w:bCs/>
                <w:sz w:val="20"/>
                <w:szCs w:val="20"/>
              </w:rPr>
              <w:t>Definition</w:t>
            </w:r>
          </w:p>
        </w:tc>
      </w:tr>
      <w:tr w:rsidR="00A92874" w:rsidRPr="0078741D" w14:paraId="704CA1C7" w14:textId="77777777" w:rsidTr="00095237">
        <w:tc>
          <w:tcPr>
            <w:tcW w:w="1975" w:type="dxa"/>
          </w:tcPr>
          <w:p w14:paraId="1FFBD7FC" w14:textId="6F5D058A" w:rsidR="00A92874" w:rsidRPr="00095237" w:rsidRDefault="00A92874" w:rsidP="00770211">
            <w:pPr>
              <w:rPr>
                <w:sz w:val="20"/>
                <w:szCs w:val="20"/>
              </w:rPr>
            </w:pPr>
            <w:r w:rsidRPr="00095237">
              <w:rPr>
                <w:sz w:val="20"/>
                <w:szCs w:val="20"/>
              </w:rPr>
              <w:t>Privacy</w:t>
            </w:r>
          </w:p>
        </w:tc>
        <w:tc>
          <w:tcPr>
            <w:tcW w:w="7375" w:type="dxa"/>
          </w:tcPr>
          <w:p w14:paraId="1B99A49B" w14:textId="768BAEA7" w:rsidR="00A92874" w:rsidRPr="00095237" w:rsidRDefault="00720CE6" w:rsidP="00770211">
            <w:pPr>
              <w:rPr>
                <w:sz w:val="20"/>
                <w:szCs w:val="20"/>
              </w:rPr>
            </w:pPr>
            <w:r w:rsidRPr="00095237">
              <w:rPr>
                <w:sz w:val="20"/>
                <w:szCs w:val="20"/>
              </w:rPr>
              <w:t>T</w:t>
            </w:r>
            <w:r w:rsidR="00A92874" w:rsidRPr="00095237">
              <w:rPr>
                <w:sz w:val="20"/>
                <w:szCs w:val="20"/>
              </w:rPr>
              <w:t>he right for an individual to be let alone, or freedom from interference or intrusion, including the right for an individual to have a measure of control over how their personal information is collected and used.</w:t>
            </w:r>
          </w:p>
        </w:tc>
      </w:tr>
      <w:tr w:rsidR="00A92874" w:rsidRPr="0078741D" w14:paraId="320872FB" w14:textId="77777777" w:rsidTr="00095237">
        <w:tc>
          <w:tcPr>
            <w:tcW w:w="1975" w:type="dxa"/>
          </w:tcPr>
          <w:p w14:paraId="46E73678" w14:textId="3E7251E0" w:rsidR="00A92874" w:rsidRPr="00095237" w:rsidRDefault="00A92874" w:rsidP="00770211">
            <w:pPr>
              <w:rPr>
                <w:sz w:val="20"/>
                <w:szCs w:val="20"/>
              </w:rPr>
            </w:pPr>
            <w:r w:rsidRPr="00095237">
              <w:rPr>
                <w:sz w:val="20"/>
                <w:szCs w:val="20"/>
              </w:rPr>
              <w:t>Identity</w:t>
            </w:r>
          </w:p>
        </w:tc>
        <w:tc>
          <w:tcPr>
            <w:tcW w:w="7375" w:type="dxa"/>
          </w:tcPr>
          <w:p w14:paraId="2F217814" w14:textId="3E191D69" w:rsidR="00A92874" w:rsidRPr="00095237" w:rsidRDefault="00720CE6" w:rsidP="00770211">
            <w:pPr>
              <w:rPr>
                <w:sz w:val="20"/>
                <w:szCs w:val="20"/>
              </w:rPr>
            </w:pPr>
            <w:r w:rsidRPr="00095237">
              <w:rPr>
                <w:sz w:val="20"/>
                <w:szCs w:val="20"/>
              </w:rPr>
              <w:t xml:space="preserve">A </w:t>
            </w:r>
            <w:r w:rsidR="00A92874" w:rsidRPr="00095237">
              <w:rPr>
                <w:sz w:val="20"/>
                <w:szCs w:val="20"/>
              </w:rPr>
              <w:t xml:space="preserve">set of attributes related to an </w:t>
            </w:r>
            <w:r w:rsidRPr="00095237">
              <w:rPr>
                <w:sz w:val="20"/>
                <w:szCs w:val="20"/>
              </w:rPr>
              <w:t>individual.</w:t>
            </w:r>
          </w:p>
        </w:tc>
      </w:tr>
      <w:tr w:rsidR="00A92874" w:rsidRPr="0078741D" w14:paraId="38695E33" w14:textId="77777777" w:rsidTr="00095237">
        <w:tc>
          <w:tcPr>
            <w:tcW w:w="1975" w:type="dxa"/>
          </w:tcPr>
          <w:p w14:paraId="092FC740" w14:textId="3946D2AA" w:rsidR="00A92874" w:rsidRPr="00095237" w:rsidRDefault="00A92874" w:rsidP="00770211">
            <w:pPr>
              <w:rPr>
                <w:sz w:val="20"/>
                <w:szCs w:val="20"/>
              </w:rPr>
            </w:pPr>
            <w:r w:rsidRPr="00095237">
              <w:rPr>
                <w:sz w:val="20"/>
                <w:szCs w:val="20"/>
              </w:rPr>
              <w:t>Digital Identity</w:t>
            </w:r>
          </w:p>
        </w:tc>
        <w:tc>
          <w:tcPr>
            <w:tcW w:w="7375" w:type="dxa"/>
          </w:tcPr>
          <w:p w14:paraId="08FBA158" w14:textId="1B2D3054" w:rsidR="00A92874" w:rsidRPr="00095237" w:rsidRDefault="00720CE6" w:rsidP="00770211">
            <w:pPr>
              <w:rPr>
                <w:sz w:val="20"/>
                <w:szCs w:val="20"/>
              </w:rPr>
            </w:pPr>
            <w:r w:rsidRPr="00095237">
              <w:rPr>
                <w:sz w:val="20"/>
                <w:szCs w:val="20"/>
              </w:rPr>
              <w:t xml:space="preserve">A </w:t>
            </w:r>
            <w:r w:rsidR="00A92874" w:rsidRPr="00095237">
              <w:rPr>
                <w:sz w:val="20"/>
                <w:szCs w:val="20"/>
              </w:rPr>
              <w:t>machine readable structured digital representation of identity</w:t>
            </w:r>
            <w:r w:rsidRPr="00095237">
              <w:rPr>
                <w:sz w:val="20"/>
                <w:szCs w:val="20"/>
              </w:rPr>
              <w:t>.</w:t>
            </w:r>
          </w:p>
        </w:tc>
      </w:tr>
      <w:tr w:rsidR="00A92874" w:rsidRPr="0078741D" w14:paraId="3699C7BF" w14:textId="77777777" w:rsidTr="00095237">
        <w:tc>
          <w:tcPr>
            <w:tcW w:w="1975" w:type="dxa"/>
          </w:tcPr>
          <w:p w14:paraId="3D4F8AF7" w14:textId="6D299F46" w:rsidR="00A92874" w:rsidRPr="00095237" w:rsidRDefault="00A92874" w:rsidP="00770211">
            <w:pPr>
              <w:rPr>
                <w:sz w:val="20"/>
                <w:szCs w:val="20"/>
              </w:rPr>
            </w:pPr>
            <w:r w:rsidRPr="00095237">
              <w:rPr>
                <w:sz w:val="20"/>
                <w:szCs w:val="20"/>
              </w:rPr>
              <w:t>Credentials</w:t>
            </w:r>
          </w:p>
        </w:tc>
        <w:tc>
          <w:tcPr>
            <w:tcW w:w="7375" w:type="dxa"/>
          </w:tcPr>
          <w:p w14:paraId="2F9307AA" w14:textId="73898C7F" w:rsidR="00A92874" w:rsidRPr="00095237" w:rsidRDefault="00A92874" w:rsidP="00770211">
            <w:pPr>
              <w:rPr>
                <w:sz w:val="20"/>
                <w:szCs w:val="20"/>
              </w:rPr>
            </w:pPr>
            <w:r w:rsidRPr="00095237">
              <w:rPr>
                <w:sz w:val="20"/>
                <w:szCs w:val="20"/>
              </w:rPr>
              <w:t>Documentation containing information about an individual</w:t>
            </w:r>
          </w:p>
        </w:tc>
      </w:tr>
      <w:tr w:rsidR="00A92874" w:rsidRPr="0078741D" w14:paraId="53458EBE" w14:textId="77777777" w:rsidTr="00095237">
        <w:tc>
          <w:tcPr>
            <w:tcW w:w="1975" w:type="dxa"/>
          </w:tcPr>
          <w:p w14:paraId="4490ACB3" w14:textId="54313539" w:rsidR="00A92874" w:rsidRPr="00095237" w:rsidRDefault="00A92874" w:rsidP="00770211">
            <w:pPr>
              <w:rPr>
                <w:sz w:val="20"/>
                <w:szCs w:val="20"/>
              </w:rPr>
            </w:pPr>
            <w:r w:rsidRPr="00095237">
              <w:rPr>
                <w:sz w:val="20"/>
                <w:szCs w:val="20"/>
              </w:rPr>
              <w:t>Digital Credentials</w:t>
            </w:r>
          </w:p>
        </w:tc>
        <w:tc>
          <w:tcPr>
            <w:tcW w:w="7375" w:type="dxa"/>
          </w:tcPr>
          <w:p w14:paraId="7D3E1F59" w14:textId="44AD51DD" w:rsidR="00A92874" w:rsidRPr="00095237" w:rsidRDefault="00720CE6" w:rsidP="00770211">
            <w:pPr>
              <w:rPr>
                <w:sz w:val="20"/>
                <w:szCs w:val="20"/>
              </w:rPr>
            </w:pPr>
            <w:r w:rsidRPr="00095237">
              <w:rPr>
                <w:sz w:val="20"/>
                <w:szCs w:val="20"/>
              </w:rPr>
              <w:t>D</w:t>
            </w:r>
            <w:r w:rsidR="00A92874" w:rsidRPr="00095237">
              <w:rPr>
                <w:sz w:val="20"/>
                <w:szCs w:val="20"/>
              </w:rPr>
              <w:t>igital files containing information about an individual</w:t>
            </w:r>
            <w:r w:rsidRPr="00095237">
              <w:rPr>
                <w:sz w:val="20"/>
                <w:szCs w:val="20"/>
              </w:rPr>
              <w:t>.</w:t>
            </w:r>
          </w:p>
        </w:tc>
      </w:tr>
      <w:tr w:rsidR="00A92874" w:rsidRPr="0078741D" w14:paraId="61C08FF7" w14:textId="77777777" w:rsidTr="00095237">
        <w:tc>
          <w:tcPr>
            <w:tcW w:w="1975" w:type="dxa"/>
          </w:tcPr>
          <w:p w14:paraId="2E820124" w14:textId="3331C205" w:rsidR="00A92874" w:rsidRPr="00095237" w:rsidRDefault="00A92874" w:rsidP="00770211">
            <w:pPr>
              <w:rPr>
                <w:sz w:val="20"/>
                <w:szCs w:val="20"/>
              </w:rPr>
            </w:pPr>
            <w:r w:rsidRPr="00095237">
              <w:rPr>
                <w:sz w:val="20"/>
                <w:szCs w:val="20"/>
              </w:rPr>
              <w:t>Pure Digital Credentials</w:t>
            </w:r>
          </w:p>
        </w:tc>
        <w:tc>
          <w:tcPr>
            <w:tcW w:w="7375" w:type="dxa"/>
          </w:tcPr>
          <w:p w14:paraId="4C728E0E" w14:textId="3B59F6EF" w:rsidR="00A92874" w:rsidRPr="00095237" w:rsidRDefault="00720CE6" w:rsidP="00770211">
            <w:pPr>
              <w:rPr>
                <w:sz w:val="20"/>
                <w:szCs w:val="20"/>
              </w:rPr>
            </w:pPr>
            <w:r w:rsidRPr="00095237">
              <w:rPr>
                <w:sz w:val="20"/>
                <w:szCs w:val="20"/>
              </w:rPr>
              <w:t>C</w:t>
            </w:r>
            <w:r w:rsidR="00A92874" w:rsidRPr="00095237">
              <w:rPr>
                <w:sz w:val="20"/>
                <w:szCs w:val="20"/>
              </w:rPr>
              <w:t>redentials that do not have a physical analog and exist only in electronic records</w:t>
            </w:r>
            <w:r w:rsidRPr="00095237">
              <w:rPr>
                <w:sz w:val="20"/>
                <w:szCs w:val="20"/>
              </w:rPr>
              <w:t>.</w:t>
            </w:r>
          </w:p>
        </w:tc>
      </w:tr>
      <w:tr w:rsidR="00A92874" w:rsidRPr="0078741D" w14:paraId="5745834A" w14:textId="77777777" w:rsidTr="00095237">
        <w:tc>
          <w:tcPr>
            <w:tcW w:w="1975" w:type="dxa"/>
          </w:tcPr>
          <w:p w14:paraId="335FF19D" w14:textId="72E5C0A7" w:rsidR="00A92874" w:rsidRPr="00095237" w:rsidRDefault="00A92874" w:rsidP="00770211">
            <w:pPr>
              <w:rPr>
                <w:sz w:val="20"/>
                <w:szCs w:val="20"/>
              </w:rPr>
            </w:pPr>
            <w:r w:rsidRPr="00095237">
              <w:rPr>
                <w:sz w:val="20"/>
                <w:szCs w:val="20"/>
              </w:rPr>
              <w:t>Trust Model</w:t>
            </w:r>
          </w:p>
        </w:tc>
        <w:tc>
          <w:tcPr>
            <w:tcW w:w="7375" w:type="dxa"/>
          </w:tcPr>
          <w:p w14:paraId="02C4E9AF" w14:textId="1E0DDB46" w:rsidR="00A92874" w:rsidRPr="00095237" w:rsidRDefault="00A92874" w:rsidP="00095237">
            <w:pPr>
              <w:spacing w:line="276" w:lineRule="auto"/>
              <w:rPr>
                <w:sz w:val="20"/>
                <w:szCs w:val="20"/>
              </w:rPr>
            </w:pPr>
            <w:r w:rsidRPr="00095237">
              <w:rPr>
                <w:sz w:val="20"/>
                <w:szCs w:val="20"/>
              </w:rPr>
              <w:t>A system built on a combination of business, technical, legal, and regulatory requirements</w:t>
            </w:r>
            <w:r w:rsidR="00720CE6" w:rsidRPr="00095237">
              <w:rPr>
                <w:sz w:val="20"/>
                <w:szCs w:val="20"/>
              </w:rPr>
              <w:t>.</w:t>
            </w:r>
          </w:p>
        </w:tc>
      </w:tr>
    </w:tbl>
    <w:p w14:paraId="0FE33077" w14:textId="6BDD34E6" w:rsidR="002031C7" w:rsidRDefault="002031C7" w:rsidP="00770211"/>
    <w:p w14:paraId="0B7C1AC0" w14:textId="77777777" w:rsidR="000A6003" w:rsidRDefault="009D0F65">
      <w:pPr>
        <w:pStyle w:val="Heading1"/>
      </w:pPr>
      <w:bookmarkStart w:id="6" w:name="_Toc133680933"/>
      <w:bookmarkStart w:id="7" w:name="_Toc133681033"/>
      <w:bookmarkStart w:id="8" w:name="_Toc133988908"/>
      <w:bookmarkStart w:id="9" w:name="_Toc133988993"/>
      <w:bookmarkStart w:id="10" w:name="_Toc133989078"/>
      <w:bookmarkStart w:id="11" w:name="_Toc133989162"/>
      <w:bookmarkStart w:id="12" w:name="_Toc133989247"/>
      <w:bookmarkStart w:id="13" w:name="_Toc134081046"/>
      <w:bookmarkEnd w:id="6"/>
      <w:bookmarkEnd w:id="7"/>
      <w:bookmarkEnd w:id="8"/>
      <w:bookmarkEnd w:id="9"/>
      <w:bookmarkEnd w:id="10"/>
      <w:bookmarkEnd w:id="11"/>
      <w:bookmarkEnd w:id="12"/>
      <w:r>
        <w:t>The Current Landscape of Policy and Technology</w:t>
      </w:r>
      <w:bookmarkEnd w:id="13"/>
    </w:p>
    <w:p w14:paraId="331AFBB6" w14:textId="088DDB83" w:rsidR="000A6003" w:rsidRDefault="009D0F65">
      <w:r>
        <w:t xml:space="preserve">To say the current privacy landscape is complicated understates the diversity of challenges in this space. What we are seeing in terms of tension expressed in the news and lawsuits in court reflects an unsteady balance between privacy and desired functionality that varies from one jurisdiction to the next. Every locality makes different decisions depending on its capabilities and understanding of what it means to issue and use digital credentials in a privacy-respecting manner. In the larger use cases, mobile driver’s licenses being the primary example, discussions start with looking at what's possible with the physical credentials today. Photographs and physical </w:t>
      </w:r>
      <w:r w:rsidR="000947AD">
        <w:t>characteristics</w:t>
      </w:r>
      <w:r>
        <w:t xml:space="preserve"> (biometrics), counterfeit protection (issuer verifiability), name and address (individual identifiers), and so on, start as the bare minimum of what digital credentials are expected to offer.</w:t>
      </w:r>
      <w:r w:rsidR="006251A5">
        <w:t xml:space="preserve"> That they are digital suggests ways in which they can do more to protect an individual’s privacy when using the credential.</w:t>
      </w:r>
    </w:p>
    <w:p w14:paraId="2D37454B" w14:textId="77777777" w:rsidR="000A6003" w:rsidRDefault="000A6003"/>
    <w:p w14:paraId="3C6A0F5C" w14:textId="77777777" w:rsidR="000A6003" w:rsidRDefault="009D0F65">
      <w:r>
        <w:t>Even that bare minimum, though, introduces key issues that must be addressed. Providing digital credentials often promises improvements on the physical credentials provided today, but the key issues suggest it’s not that easy.</w:t>
      </w:r>
    </w:p>
    <w:p w14:paraId="4BDC1057" w14:textId="77777777" w:rsidR="000A6003" w:rsidRDefault="000A6003"/>
    <w:p w14:paraId="546BC43A" w14:textId="2D485D32" w:rsidR="000A6003" w:rsidRDefault="009D0F65">
      <w:r>
        <w:lastRenderedPageBreak/>
        <w:t>For many organizations, the level of assurance regarding an individual’s data that comes from a government-issued digital credential is foundational to their services. When an organization is held to specific legal requirements, such as assessing minimum age or residency , these credentials are the most valuable and perhaps only viable option. Even for unregulated use cases, the default is often for businesses to request user’s present government</w:t>
      </w:r>
      <w:r w:rsidR="00316C60">
        <w:t>-</w:t>
      </w:r>
      <w:r>
        <w:t>issued identity documents.</w:t>
      </w:r>
      <w:r w:rsidR="00D07F29">
        <w:rPr>
          <w:rStyle w:val="FootnoteReference"/>
        </w:rPr>
        <w:footnoteReference w:id="6"/>
      </w:r>
      <w:r>
        <w:t xml:space="preserve"> </w:t>
      </w:r>
    </w:p>
    <w:p w14:paraId="4553D11E" w14:textId="77777777" w:rsidR="000A6003" w:rsidRDefault="000A6003"/>
    <w:p w14:paraId="3B8A42E4" w14:textId="71BAC0DF" w:rsidR="000A6003" w:rsidRDefault="009D0F65">
      <w:r>
        <w:t>In a paper-based environment, however, ascertaining such specific data is a fairly heavy-weight mechanism that reveals far more than just the data actually required for the situation. Verifying that an individual is of legal age to purchase cigarettes includes not only a specific date of birth, but also a legal name, address, and a government-issued identifier like a social security or driver’s license number. The system supports little in the way of privacy and is demonstrably prone to fraud.</w:t>
      </w:r>
      <w:r>
        <w:rPr>
          <w:vertAlign w:val="superscript"/>
        </w:rPr>
        <w:footnoteReference w:id="7"/>
      </w:r>
      <w:r>
        <w:t xml:space="preserve"> Still, those weaknesses are understood, whereas the new risks and challenges posed by digital credentials are </w:t>
      </w:r>
      <w:r w:rsidR="00131360">
        <w:t>just starting to register as topics to consider</w:t>
      </w:r>
      <w:r>
        <w:t>.</w:t>
      </w:r>
      <w:r>
        <w:rPr>
          <w:vertAlign w:val="superscript"/>
        </w:rPr>
        <w:footnoteReference w:id="8"/>
      </w:r>
      <w:r>
        <w:t xml:space="preserve"> </w:t>
      </w:r>
    </w:p>
    <w:p w14:paraId="4234FA3F" w14:textId="77777777" w:rsidR="000A6003" w:rsidRDefault="000A6003"/>
    <w:p w14:paraId="5FCF5896" w14:textId="09B5F533" w:rsidR="000A6003" w:rsidRDefault="009D0F65">
      <w:r>
        <w:t>With the trend towards digital credentials, governments and services dependent on government data have powerful options to support a more privacy-enhancing landscape for individuals. We will start by looking at the current state of government-issued digital credentials and the characteristics that can make them a better option for all the stakeholders involved. From there we will consider the technology that enables these digital credentials today</w:t>
      </w:r>
      <w:r w:rsidR="00131360">
        <w:t xml:space="preserve"> and how privacy challenges are also likely to evolve in the new landscape</w:t>
      </w:r>
      <w:r>
        <w:t>.</w:t>
      </w:r>
    </w:p>
    <w:p w14:paraId="308650FA" w14:textId="77777777" w:rsidR="000A6003" w:rsidRDefault="009D0F65">
      <w:pPr>
        <w:pStyle w:val="Heading2"/>
      </w:pPr>
      <w:bookmarkStart w:id="14" w:name="_Toc134081047"/>
      <w:r>
        <w:t>Influential National and International Regulations and Standards</w:t>
      </w:r>
      <w:bookmarkEnd w:id="14"/>
    </w:p>
    <w:p w14:paraId="2BDD6289" w14:textId="376316E8" w:rsidR="000A6003" w:rsidRDefault="009D0F65">
      <w:r>
        <w:t>The technologies required to support the issuance, maintenance, and handling of digital credentials are shaped by the legal requirements prescribing appropriate use. Many countries</w:t>
      </w:r>
      <w:r w:rsidR="006C78CB">
        <w:t xml:space="preserve">, </w:t>
      </w:r>
      <w:r>
        <w:t>regions</w:t>
      </w:r>
      <w:r w:rsidR="006C78CB">
        <w:t>, and even intergovernmental organizations</w:t>
      </w:r>
      <w:r>
        <w:t xml:space="preserve"> are developing their own frameworks to address how governments may issue and consume digital credentials, with the European Union’s General Data Protection Regulation (GDPR) and the second version of the Network Information Security (NIS2) directive serving as </w:t>
      </w:r>
      <w:r w:rsidR="006C78CB">
        <w:t>a template for security and privacy that other countries have looked to emulate</w:t>
      </w:r>
      <w:r>
        <w:t xml:space="preserve">, despite ongoing criticism that they do </w:t>
      </w:r>
      <w:r>
        <w:lastRenderedPageBreak/>
        <w:t>not go far enough in protecting human rights and privacy.</w:t>
      </w:r>
      <w:r>
        <w:rPr>
          <w:vertAlign w:val="superscript"/>
        </w:rPr>
        <w:footnoteReference w:id="9"/>
      </w:r>
      <w:r>
        <w:t xml:space="preserve"> Similarly, in the U.S., the California Consumer Privacy Act (CCPA) provides a model </w:t>
      </w:r>
      <w:r w:rsidR="006C78CB">
        <w:t xml:space="preserve">some </w:t>
      </w:r>
      <w:r>
        <w:t>other states in the US</w:t>
      </w:r>
      <w:r w:rsidR="006C78CB">
        <w:t xml:space="preserve"> have looked to emulate</w:t>
      </w:r>
      <w:r w:rsidR="007E21A8">
        <w:t xml:space="preserve">, whereas at the federal level, the 1974 Privacy Act is still the guiding </w:t>
      </w:r>
      <w:r w:rsidR="007E21A8" w:rsidRPr="007E21A8">
        <w:t>privacy framework when it comes to basic systems and use of collected data</w:t>
      </w:r>
      <w:r>
        <w:t xml:space="preserve">. Bridging the gaps from one country to another are the Privacy Principles developed and adopted by the </w:t>
      </w:r>
      <w:proofErr w:type="spellStart"/>
      <w:r>
        <w:t>Organisation</w:t>
      </w:r>
      <w:proofErr w:type="spellEnd"/>
      <w:r>
        <w:t xml:space="preserve"> for Economic Co-operation and Development (OECD). </w:t>
      </w:r>
    </w:p>
    <w:p w14:paraId="6719E1D5" w14:textId="77777777" w:rsidR="000A6003" w:rsidRDefault="000A6003"/>
    <w:p w14:paraId="0EC2FBF9" w14:textId="170DAEC7" w:rsidR="000A6003" w:rsidRDefault="009D0F65">
      <w:r>
        <w:t xml:space="preserve">All regulations that touch on digital identity and associated credentials require careful reading, as their scope </w:t>
      </w:r>
      <w:r w:rsidR="004F3EF4">
        <w:t>may be</w:t>
      </w:r>
      <w:r w:rsidR="002B661C">
        <w:t xml:space="preserve"> limited. The OECD guidelines, for example, offer guidance to governments, whereas ISO standards are considered more general. National legislation in turn is </w:t>
      </w:r>
      <w:r>
        <w:t>often limited to organizations in the private sector</w:t>
      </w:r>
      <w:r w:rsidR="002B661C">
        <w:t xml:space="preserve"> and either does not speak to or provides a very different scope for what governments may do in the privacy landscape</w:t>
      </w:r>
      <w:r>
        <w:t xml:space="preserve">. </w:t>
      </w:r>
    </w:p>
    <w:p w14:paraId="69493FE5" w14:textId="7C9F7998" w:rsidR="000A6003" w:rsidRDefault="001D248B">
      <w:pPr>
        <w:pStyle w:val="Heading3"/>
      </w:pPr>
      <w:bookmarkStart w:id="15" w:name="_Toc134081048"/>
      <w:r>
        <w:t>OECD Privacy Principles</w:t>
      </w:r>
      <w:bookmarkEnd w:id="15"/>
    </w:p>
    <w:p w14:paraId="3A251620" w14:textId="02F6CB5C" w:rsidR="000A6003" w:rsidRDefault="009D0F65">
      <w:r>
        <w:t>The OECD Privacy Principles provide a framework for privacy laws around the world</w:t>
      </w:r>
      <w:r w:rsidR="00F0114E">
        <w:t>.</w:t>
      </w:r>
      <w:r>
        <w:t xml:space="preserve"> These principles are part of the OECD Recommendation of the Council concerning Guidelines Governing the Protection of Privacy and Transborder Flows of Personal Data.</w:t>
      </w:r>
      <w:r>
        <w:rPr>
          <w:vertAlign w:val="superscript"/>
        </w:rPr>
        <w:footnoteReference w:id="10"/>
      </w:r>
      <w:r>
        <w:t xml:space="preserve"> Having a common set of principles makes international transactions involving personal data much more straightforward as the laws are more likely to be interoperable. These principles are not restricted to government-issued digital credentials, and yet their use guides what is considered best practice in the privacy space.</w:t>
      </w:r>
    </w:p>
    <w:p w14:paraId="3BCE8C9D" w14:textId="77777777" w:rsidR="000A6003" w:rsidRDefault="000A6003" w:rsidP="00F0114E">
      <w:pPr>
        <w:pStyle w:val="Heading4"/>
        <w:keepNext w:val="0"/>
        <w:keepLines w:val="0"/>
        <w:numPr>
          <w:ilvl w:val="0"/>
          <w:numId w:val="0"/>
        </w:numPr>
        <w:spacing w:before="0" w:after="0"/>
        <w:ind w:left="864" w:hanging="864"/>
        <w:rPr>
          <w:color w:val="000000"/>
          <w:sz w:val="22"/>
          <w:szCs w:val="22"/>
        </w:rPr>
      </w:pPr>
    </w:p>
    <w:p w14:paraId="7DF52558" w14:textId="77777777" w:rsidR="000A6003" w:rsidRDefault="009D0F65">
      <w:r>
        <w:t>The Privacy Principles touch on eight areas:</w:t>
      </w:r>
      <w:r>
        <w:rPr>
          <w:vertAlign w:val="superscript"/>
        </w:rPr>
        <w:footnoteReference w:id="11"/>
      </w:r>
    </w:p>
    <w:p w14:paraId="40A697A8" w14:textId="77777777" w:rsidR="000A6003" w:rsidRDefault="009D0F65">
      <w:pPr>
        <w:numPr>
          <w:ilvl w:val="0"/>
          <w:numId w:val="6"/>
        </w:numPr>
      </w:pPr>
      <w:r>
        <w:t>Collection Limitation Principle</w:t>
      </w:r>
    </w:p>
    <w:p w14:paraId="5214D714" w14:textId="77777777" w:rsidR="000A6003" w:rsidRDefault="009D0F65">
      <w:pPr>
        <w:numPr>
          <w:ilvl w:val="0"/>
          <w:numId w:val="6"/>
        </w:numPr>
      </w:pPr>
      <w:r>
        <w:t>Data Quality Principle</w:t>
      </w:r>
    </w:p>
    <w:p w14:paraId="048C0C4F" w14:textId="77777777" w:rsidR="000A6003" w:rsidRDefault="009D0F65">
      <w:pPr>
        <w:numPr>
          <w:ilvl w:val="0"/>
          <w:numId w:val="6"/>
        </w:numPr>
      </w:pPr>
      <w:r>
        <w:t>Purpose Specification Principle</w:t>
      </w:r>
    </w:p>
    <w:p w14:paraId="0BC0F7B6" w14:textId="77777777" w:rsidR="000A6003" w:rsidRDefault="009D0F65">
      <w:pPr>
        <w:numPr>
          <w:ilvl w:val="0"/>
          <w:numId w:val="6"/>
        </w:numPr>
      </w:pPr>
      <w:r>
        <w:t>Use Limitation Principle</w:t>
      </w:r>
    </w:p>
    <w:p w14:paraId="04EBBFC3" w14:textId="77777777" w:rsidR="000A6003" w:rsidRDefault="009D0F65">
      <w:pPr>
        <w:numPr>
          <w:ilvl w:val="0"/>
          <w:numId w:val="6"/>
        </w:numPr>
      </w:pPr>
      <w:r>
        <w:t>Security Safeguards Principle</w:t>
      </w:r>
    </w:p>
    <w:p w14:paraId="6328499F" w14:textId="77777777" w:rsidR="000A6003" w:rsidRDefault="009D0F65">
      <w:pPr>
        <w:numPr>
          <w:ilvl w:val="0"/>
          <w:numId w:val="6"/>
        </w:numPr>
      </w:pPr>
      <w:r>
        <w:t>Openness Principle</w:t>
      </w:r>
    </w:p>
    <w:p w14:paraId="1B9D31EE" w14:textId="77777777" w:rsidR="000A6003" w:rsidRDefault="009D0F65">
      <w:pPr>
        <w:numPr>
          <w:ilvl w:val="0"/>
          <w:numId w:val="6"/>
        </w:numPr>
      </w:pPr>
      <w:r>
        <w:t>Individual Participation Principle</w:t>
      </w:r>
    </w:p>
    <w:p w14:paraId="789130C7" w14:textId="77777777" w:rsidR="000A6003" w:rsidRDefault="009D0F65">
      <w:pPr>
        <w:numPr>
          <w:ilvl w:val="0"/>
          <w:numId w:val="6"/>
        </w:numPr>
      </w:pPr>
      <w:r>
        <w:t>Accountability Principle</w:t>
      </w:r>
    </w:p>
    <w:p w14:paraId="750940C5" w14:textId="77777777" w:rsidR="000A6003" w:rsidRDefault="000A6003"/>
    <w:p w14:paraId="3F9F022E" w14:textId="50E42B56" w:rsidR="000A6003" w:rsidRDefault="009D0F65" w:rsidP="00095237">
      <w:r>
        <w:lastRenderedPageBreak/>
        <w:t>These principles have influenced many critical privacy laws and regulations around the world. For example, these principles are directly reflected in ISO/IEC 29001 Privacy Framework</w:t>
      </w:r>
      <w:r w:rsidR="006C78CB">
        <w:t xml:space="preserve"> and the Asia-Pacific Economic Cooperation (APEC) Privacy Framework</w:t>
      </w:r>
      <w:r>
        <w:t>.</w:t>
      </w:r>
      <w:r>
        <w:rPr>
          <w:vertAlign w:val="superscript"/>
        </w:rPr>
        <w:footnoteReference w:id="12"/>
      </w:r>
      <w:bookmarkStart w:id="16" w:name="_3psojsm2vug8" w:colFirst="0" w:colLast="0"/>
      <w:bookmarkEnd w:id="16"/>
    </w:p>
    <w:p w14:paraId="03755276" w14:textId="790F4C61" w:rsidR="00131360" w:rsidRDefault="00131360">
      <w:pPr>
        <w:pStyle w:val="Heading3"/>
      </w:pPr>
      <w:bookmarkStart w:id="17" w:name="_Toc134081049"/>
      <w:r w:rsidRPr="00131360">
        <w:t>ISO/IEC 29100 Privacy Framework</w:t>
      </w:r>
      <w:bookmarkEnd w:id="17"/>
    </w:p>
    <w:p w14:paraId="09FAB547" w14:textId="0D0B3BF4" w:rsidR="00383CC2" w:rsidRDefault="00383CC2" w:rsidP="00383CC2">
      <w:r>
        <w:t xml:space="preserve">The ISO/IEC 29001 Privacy Framework is a joint standard published by </w:t>
      </w:r>
      <w:r w:rsidRPr="00383CC2">
        <w:t>ISO (</w:t>
      </w:r>
      <w:r w:rsidRPr="00383CC2">
        <w:rPr>
          <w:i/>
          <w:iCs/>
        </w:rPr>
        <w:t>the International Organization for Standardization</w:t>
      </w:r>
      <w:r w:rsidRPr="00383CC2">
        <w:t>) and IEC (the International Electrotechnical Commission</w:t>
      </w:r>
      <w:r>
        <w:t>).</w:t>
      </w:r>
      <w:r w:rsidR="00E02CDD">
        <w:rPr>
          <w:rStyle w:val="FootnoteReference"/>
        </w:rPr>
        <w:footnoteReference w:id="13"/>
      </w:r>
      <w:r>
        <w:t xml:space="preserve"> This standard </w:t>
      </w:r>
      <w:r w:rsidR="00CB10E8">
        <w:t>serves as the privacy baseline for</w:t>
      </w:r>
      <w:r>
        <w:t xml:space="preserve"> several </w:t>
      </w:r>
      <w:r w:rsidR="00CB10E8">
        <w:t xml:space="preserve">other standards and their relevant </w:t>
      </w:r>
      <w:r>
        <w:t>certifications such as IS</w:t>
      </w:r>
      <w:r w:rsidR="00E02CDD">
        <w:t>O/IEC 27018</w:t>
      </w:r>
      <w:r w:rsidR="002B661C">
        <w:t xml:space="preserve"> (</w:t>
      </w:r>
      <w:r w:rsidR="002B661C" w:rsidRPr="002B661C">
        <w:t>Code of practice for protection of personally identifiable information (PII) in public clouds acting as PII processor</w:t>
      </w:r>
      <w:r w:rsidR="002B661C">
        <w:t>)</w:t>
      </w:r>
      <w:r w:rsidR="00E02CDD">
        <w:t xml:space="preserve"> and ISO/IEC 27701</w:t>
      </w:r>
      <w:r w:rsidR="002B661C">
        <w:t xml:space="preserve"> (</w:t>
      </w:r>
      <w:r w:rsidR="002B661C" w:rsidRPr="002B661C">
        <w:t>Extension to ISO/IEC 27001 and ISO/IEC 27002 for privacy information management</w:t>
      </w:r>
      <w:r w:rsidR="002B661C">
        <w:t>)</w:t>
      </w:r>
      <w:r w:rsidR="00E02CDD">
        <w:t>.</w:t>
      </w:r>
      <w:r w:rsidR="00E02CDD">
        <w:rPr>
          <w:rStyle w:val="FootnoteReference"/>
        </w:rPr>
        <w:footnoteReference w:id="14"/>
      </w:r>
      <w:r w:rsidR="00E02CDD">
        <w:t xml:space="preserve"> </w:t>
      </w:r>
    </w:p>
    <w:p w14:paraId="2153CD66" w14:textId="77777777" w:rsidR="00CB10E8" w:rsidRDefault="00CB10E8" w:rsidP="00383CC2"/>
    <w:p w14:paraId="196B21FA" w14:textId="6FC83838" w:rsidR="00CB10E8" w:rsidRDefault="00CB10E8" w:rsidP="00383CC2">
      <w:r>
        <w:t xml:space="preserve">Organizations that can demonstrate compliance with ISO/IEC 27701, and therefore follow the guidance in ISO/IEC 29001, are much closer to meeting legal and regulatory requirements around the world. </w:t>
      </w:r>
      <w:r w:rsidRPr="00CB10E8">
        <w:t>The open-sourced Data Protection Mapping Project</w:t>
      </w:r>
      <w:r w:rsidR="00CE5FED">
        <w:t>, initially donated by Microsoft to the open-source community,</w:t>
      </w:r>
      <w:r>
        <w:t xml:space="preserve"> exists to help organizations understand how these standards relate to the different data protection regulations around the world.</w:t>
      </w:r>
      <w:r w:rsidR="00CE5FED">
        <w:rPr>
          <w:rStyle w:val="FootnoteReference"/>
        </w:rPr>
        <w:footnoteReference w:id="15"/>
      </w:r>
    </w:p>
    <w:p w14:paraId="0A7BA2B8" w14:textId="77777777" w:rsidR="00584608" w:rsidRDefault="00584608" w:rsidP="00383CC2"/>
    <w:p w14:paraId="5E12A509" w14:textId="77777777" w:rsidR="00F8118D" w:rsidRPr="00F8118D" w:rsidRDefault="00584608" w:rsidP="00F8118D">
      <w:r w:rsidRPr="00F8118D">
        <w:t xml:space="preserve">Within the ISO/IEC 29100 family, </w:t>
      </w:r>
      <w:r w:rsidR="00F8118D" w:rsidRPr="00F8118D">
        <w:t>two additional standards are relevant to this topic: ISO/IEC 29134:2017 (Guidelines for privacy impact assessment) and ISO/IEC 29184:2020</w:t>
      </w:r>
    </w:p>
    <w:p w14:paraId="09A108E5" w14:textId="463E1544" w:rsidR="00584608" w:rsidRPr="00F8118D" w:rsidRDefault="00F8118D" w:rsidP="00383CC2">
      <w:r w:rsidRPr="00F8118D">
        <w:t>(Online privacy notices and consent)</w:t>
      </w:r>
      <w:r>
        <w:t>.</w:t>
      </w:r>
      <w:r>
        <w:rPr>
          <w:rStyle w:val="FootnoteReference"/>
        </w:rPr>
        <w:footnoteReference w:id="16"/>
      </w:r>
      <w:r>
        <w:t xml:space="preserve"> In both cases, the standards are </w:t>
      </w:r>
      <w:r w:rsidRPr="00F8118D">
        <w:rPr>
          <w:lang w:val="en"/>
        </w:rPr>
        <w:t xml:space="preserve">relevant to those </w:t>
      </w:r>
      <w:r>
        <w:t>any entities</w:t>
      </w:r>
      <w:r w:rsidRPr="00F8118D">
        <w:rPr>
          <w:lang w:val="en"/>
        </w:rPr>
        <w:t xml:space="preserve"> process</w:t>
      </w:r>
      <w:proofErr w:type="spellStart"/>
      <w:r>
        <w:t>ing</w:t>
      </w:r>
      <w:proofErr w:type="spellEnd"/>
      <w:r w:rsidRPr="00F8118D">
        <w:rPr>
          <w:lang w:val="en"/>
        </w:rPr>
        <w:t xml:space="preserve"> PII.</w:t>
      </w:r>
    </w:p>
    <w:p w14:paraId="795225C9" w14:textId="77777777" w:rsidR="00CE5FED" w:rsidRDefault="00CE5FED" w:rsidP="00383CC2"/>
    <w:p w14:paraId="5F0A9068" w14:textId="41FAFC0F" w:rsidR="00CE5FED" w:rsidRPr="00383CC2" w:rsidRDefault="00CE5FED" w:rsidP="00383CC2">
      <w:r>
        <w:t>For service providers looking to take advantage of government-issued digital credentials across several jurisdictions, this kind of standardized guidance is critical.</w:t>
      </w:r>
    </w:p>
    <w:p w14:paraId="52236B5D" w14:textId="2928208C" w:rsidR="000A6003" w:rsidRDefault="009D0F65">
      <w:pPr>
        <w:pStyle w:val="Heading3"/>
      </w:pPr>
      <w:bookmarkStart w:id="18" w:name="_Toc134081050"/>
      <w:r>
        <w:t>General Data Protection Regulation</w:t>
      </w:r>
      <w:bookmarkEnd w:id="18"/>
    </w:p>
    <w:p w14:paraId="33DAA1A8" w14:textId="6E8CCD02" w:rsidR="000A6003" w:rsidRDefault="009D0F65">
      <w:r>
        <w:t>We cannot understate the influence the GDPR has had on the world stage. In effect since 2018, the regulation continues to drive digital identity and privacy policies well beyond the European Union</w:t>
      </w:r>
      <w:r w:rsidR="00A36ADB">
        <w:t xml:space="preserve">. </w:t>
      </w:r>
      <w:r w:rsidR="0034704D">
        <w:t>For a country to receive the economic benefits of being a strong partner to European businesses, it must have adequate data protection regulations as determined by the European Commission.</w:t>
      </w:r>
      <w:r w:rsidR="0034704D">
        <w:rPr>
          <w:vertAlign w:val="superscript"/>
        </w:rPr>
        <w:footnoteReference w:id="17"/>
      </w:r>
      <w:r w:rsidR="0034704D">
        <w:t xml:space="preserve"> And so, t</w:t>
      </w:r>
      <w:r w:rsidR="00A36ADB">
        <w:t xml:space="preserve">hanks </w:t>
      </w:r>
      <w:r>
        <w:t>to</w:t>
      </w:r>
      <w:r w:rsidR="00A36ADB">
        <w:t xml:space="preserve"> the</w:t>
      </w:r>
      <w:r>
        <w:t xml:space="preserve"> “adequacy” requirements </w:t>
      </w:r>
      <w:r w:rsidR="0034704D">
        <w:t xml:space="preserve">for partner nations </w:t>
      </w:r>
      <w:r>
        <w:t xml:space="preserve">and broad private-sector </w:t>
      </w:r>
      <w:r w:rsidR="0034704D">
        <w:t xml:space="preserve">compliance for organizations needing to </w:t>
      </w:r>
      <w:r>
        <w:t>operate in a manner to include EU Member State citizens</w:t>
      </w:r>
      <w:r w:rsidR="0035479C">
        <w:t xml:space="preserve"> and residents</w:t>
      </w:r>
      <w:r w:rsidR="0034704D">
        <w:t>, the GDPR is seen a baseline for data privacy</w:t>
      </w:r>
      <w:r>
        <w:t>.</w:t>
      </w:r>
      <w:r>
        <w:rPr>
          <w:vertAlign w:val="superscript"/>
        </w:rPr>
        <w:footnoteReference w:id="18"/>
      </w:r>
      <w:r>
        <w:t xml:space="preserve"> </w:t>
      </w:r>
    </w:p>
    <w:p w14:paraId="65787FD2" w14:textId="77777777" w:rsidR="000A6003" w:rsidRDefault="009D0F65">
      <w:r>
        <w:t xml:space="preserve"> </w:t>
      </w:r>
    </w:p>
    <w:p w14:paraId="5ACC9AAA" w14:textId="32365C5E" w:rsidR="000A6003" w:rsidRDefault="009D0F65">
      <w:r>
        <w:t xml:space="preserve">The GDPR offers a data-centric approach to security and privacy. With the best intentions, the GDPR creates many obstacles around the sharing of data, </w:t>
      </w:r>
      <w:r w:rsidR="00131360">
        <w:t xml:space="preserve">a characteristic </w:t>
      </w:r>
      <w:r>
        <w:t>often considered a positive for commerce but negatively impacting areas such as research and small business.</w:t>
      </w:r>
      <w:r>
        <w:rPr>
          <w:vertAlign w:val="superscript"/>
        </w:rPr>
        <w:footnoteReference w:id="19"/>
      </w:r>
      <w:r>
        <w:t xml:space="preserve"> </w:t>
      </w:r>
      <w:r w:rsidR="00A36ADB">
        <w:t xml:space="preserve">The GDPR has been a paradigm shift when it comes to </w:t>
      </w:r>
      <w:r w:rsidR="00C36F3D">
        <w:t xml:space="preserve">defining the rights and protections for individuals (i.e., ‘natural persons’) personal data, </w:t>
      </w:r>
      <w:r w:rsidR="00A36ADB">
        <w:t>a fact that has significant implications for how digital credentials, including government-issued digital identity credentials, are used.</w:t>
      </w:r>
    </w:p>
    <w:p w14:paraId="765663DD" w14:textId="77777777" w:rsidR="000A6003" w:rsidRDefault="000A6003"/>
    <w:p w14:paraId="623942FB" w14:textId="6A8254A5" w:rsidR="000A6003" w:rsidRDefault="009D0F65">
      <w:r>
        <w:t xml:space="preserve">In those countries where privacy regulation is still in its infancy and the digital economy is only beginning to launch, the GDPR adequacy requirements </w:t>
      </w:r>
      <w:r w:rsidR="006C2722">
        <w:t>suggest a</w:t>
      </w:r>
      <w:r>
        <w:t xml:space="preserve"> roadmap for </w:t>
      </w:r>
      <w:r w:rsidR="00A36ADB">
        <w:t xml:space="preserve">how to advance local digital economies in ways that will pave the way for strong partnerships with the EU. With these partnerships comes a hope for </w:t>
      </w:r>
      <w:r>
        <w:t>economic growth</w:t>
      </w:r>
      <w:r w:rsidR="0034704D">
        <w:t>, a powerful motivation to follow the European models of privacy, data handling, and digital credentials</w:t>
      </w:r>
      <w:r>
        <w:t xml:space="preserve">. In some ways, it is more difficult for countries with strong, established economies and their own views on citizen and consumer privacy to follow the direction </w:t>
      </w:r>
      <w:r w:rsidR="0034704D">
        <w:t>offered</w:t>
      </w:r>
      <w:r>
        <w:t xml:space="preserve"> by the GDPR.</w:t>
      </w:r>
      <w:r w:rsidR="0034704D">
        <w:t xml:space="preserve"> </w:t>
      </w:r>
    </w:p>
    <w:p w14:paraId="49CB7152" w14:textId="77777777" w:rsidR="000A6003" w:rsidRDefault="009D0F65">
      <w:pPr>
        <w:pStyle w:val="Heading3"/>
      </w:pPr>
      <w:bookmarkStart w:id="19" w:name="_Toc134081051"/>
      <w:r>
        <w:lastRenderedPageBreak/>
        <w:t>NIS2 Directive</w:t>
      </w:r>
      <w:bookmarkEnd w:id="19"/>
    </w:p>
    <w:p w14:paraId="1CC74456" w14:textId="24F622C2" w:rsidR="000A6003" w:rsidRDefault="009D0F65">
      <w:r>
        <w:t>Whereas the GDPR focuses on data-centric security,</w:t>
      </w:r>
      <w:r w:rsidR="0034704D">
        <w:t xml:space="preserve"> the EU’s</w:t>
      </w:r>
      <w:r>
        <w:t xml:space="preserve"> NIS2 </w:t>
      </w:r>
      <w:r w:rsidR="0034704D">
        <w:t xml:space="preserve">Directive </w:t>
      </w:r>
      <w:r>
        <w:t>focuses on system-level security. Protections for critical infrastructure</w:t>
      </w:r>
      <w:r w:rsidR="004854E0">
        <w:t>, a classification that includes the government-issued digital credential systems,</w:t>
      </w:r>
      <w:r>
        <w:t xml:space="preserve"> will result in additional privacy enhancements for individuals, though privacy is only one of several considerations for the directive. The </w:t>
      </w:r>
      <w:r w:rsidR="004F3EF4">
        <w:t>requirement</w:t>
      </w:r>
      <w:r>
        <w:t xml:space="preserve"> to secure data implicitly supports privacy for </w:t>
      </w:r>
      <w:r w:rsidR="0035479C">
        <w:t>citizens and residents</w:t>
      </w:r>
      <w:r>
        <w:t xml:space="preserve"> by mandating specific protections for their data and notification if that data is accessed inappropriately. The directive went into force on 16 January 2023; EU member states must develop appropriate local laws in support of NIS2 by 18 October 2024.</w:t>
      </w:r>
      <w:r>
        <w:rPr>
          <w:vertAlign w:val="superscript"/>
        </w:rPr>
        <w:footnoteReference w:id="20"/>
      </w:r>
      <w:r>
        <w:t xml:space="preserve"> </w:t>
      </w:r>
    </w:p>
    <w:p w14:paraId="23956026" w14:textId="77777777" w:rsidR="000A6003" w:rsidRDefault="000A6003"/>
    <w:p w14:paraId="277A958C" w14:textId="11A04259" w:rsidR="00286CD8" w:rsidRDefault="009D0F65">
      <w:r>
        <w:t>As with the GDPR, while the directive is part of the EU legislative framework, it still has a significant impact on international businesses. If a qualifying business has their primary cybersecurity decision-making point in the EU, they must abide by the requirements of the directive.</w:t>
      </w:r>
      <w:r>
        <w:rPr>
          <w:vertAlign w:val="superscript"/>
        </w:rPr>
        <w:footnoteReference w:id="21"/>
      </w:r>
    </w:p>
    <w:p w14:paraId="247B0719" w14:textId="2AEC52CA" w:rsidR="00E14457" w:rsidRPr="00E14457" w:rsidRDefault="00E14457" w:rsidP="00E14457">
      <w:pPr>
        <w:pStyle w:val="Heading3"/>
      </w:pPr>
      <w:bookmarkStart w:id="20" w:name="_Toc134081052"/>
      <w:r w:rsidRPr="00E14457">
        <w:t xml:space="preserve">SDGR and </w:t>
      </w:r>
      <w:r w:rsidR="00D7158F">
        <w:t xml:space="preserve">the </w:t>
      </w:r>
      <w:r w:rsidRPr="00E14457">
        <w:t>Once-Only principle</w:t>
      </w:r>
      <w:bookmarkEnd w:id="20"/>
    </w:p>
    <w:p w14:paraId="23B2445B" w14:textId="2D08257E" w:rsidR="00FE670E" w:rsidRDefault="00E14457" w:rsidP="00E14457">
      <w:r w:rsidRPr="00E14457">
        <w:t xml:space="preserve">The Single Digital Gateway Regulation (SDGR) is a regulation that requires, as stated in article 6, that EU countries must provide twenty-one cross-border services online by December 2023 </w:t>
      </w:r>
      <w:r w:rsidRPr="00E14457">
        <w:fldChar w:fldCharType="begin"/>
      </w:r>
      <w:r w:rsidRPr="00E14457">
        <w:instrText xml:space="preserve"> ADDIN ZOTERO_ITEM CSL_CITATION {"citationID":"HwrcNCCq","properties":{"formattedCitation":"(The European Parliament, 2018)","plainCitation":"(The European Parliament, 2018)","noteIndex":0},"citationItems":[{"id":4373,"uris":["http://zotero.org/groups/194162/items/WFTRBJUH"],"uri":["http://zotero.org/groups/194162/items/WFTRBJUH"],"itemData":{"id":4373,"type":"bill","language":"English","title":"establishing a single digital gateway to provide access to information, to procedures and to assistance and problem-solving services and amending Regulation (EU) No 1024/2012","URL":"https://eur-lex.europa.eu/legal-content/EN/TXT/HTML/?uri=CELEX:32018R1724&amp;from=EN#d1e1158-1-1","author":[{"family":"The European Parliament","given":""}],"accessed":{"date-parts":[["2021",4,5]]},"issued":{"date-parts":[["2018"]]}}}],"schema":"https://github.com/citation-style-language/schema/raw/master/csl-citation.json"} </w:instrText>
      </w:r>
      <w:r w:rsidRPr="00E14457">
        <w:fldChar w:fldCharType="separate"/>
      </w:r>
      <w:r w:rsidRPr="00E14457">
        <w:rPr>
          <w:lang w:val="en-GB"/>
        </w:rPr>
        <w:t>(The European Parliament, 2018)</w:t>
      </w:r>
      <w:r w:rsidRPr="00E14457">
        <w:fldChar w:fldCharType="end"/>
      </w:r>
      <w:r w:rsidRPr="00E14457">
        <w:t>.</w:t>
      </w:r>
      <w:r w:rsidRPr="00E14457">
        <w:rPr>
          <w:vertAlign w:val="superscript"/>
        </w:rPr>
        <w:footnoteReference w:id="22"/>
      </w:r>
      <w:r w:rsidRPr="00E14457">
        <w:t xml:space="preserve"> The SDGR states that digital public services should not only be accessible to domestic citizens but also EU citizens, thus encouraging the development of cross-border public services. One of the Single Digital Gateway’s priorities consists in encouraging European administrations to implement the Once-Only Principle</w:t>
      </w:r>
      <w:r w:rsidR="00FE670E">
        <w:t xml:space="preserve"> (OOP)</w:t>
      </w:r>
      <w:r w:rsidRPr="00E14457">
        <w:t xml:space="preserve"> in their approach.</w:t>
      </w:r>
      <w:r w:rsidRPr="00E14457">
        <w:rPr>
          <w:vertAlign w:val="superscript"/>
        </w:rPr>
        <w:footnoteReference w:id="23"/>
      </w:r>
      <w:r w:rsidRPr="00E14457">
        <w:t xml:space="preserve"> This legal framework and services provided by the SDGR binds the EU28 to develop cross-border solutions in a more structured and collaborative way. By the end of 2023, there should be 21 online procedures that should </w:t>
      </w:r>
      <w:r w:rsidRPr="00E14457">
        <w:lastRenderedPageBreak/>
        <w:t xml:space="preserve">become fully digitalized and eliminate paperwork. The services are related to various life events like birth, residence, studying, working, moving, retiring, and managing a business. </w:t>
      </w:r>
    </w:p>
    <w:p w14:paraId="003E434A" w14:textId="77777777" w:rsidR="00FE670E" w:rsidRDefault="00FE670E" w:rsidP="00E14457"/>
    <w:p w14:paraId="141E595D" w14:textId="4C1E09F4" w:rsidR="00E14457" w:rsidRDefault="00E14457" w:rsidP="00E14457">
      <w:r w:rsidRPr="00E14457">
        <w:t xml:space="preserve">Data minimization in general is an important characteristic for services interested in protecting the privacy of the individuals using their systems. This is equally true for government services, which must follow a difficult line of only requiring the minimum amount of data necessary to use their services when they are the natural </w:t>
      </w:r>
      <w:r w:rsidR="006F23F0">
        <w:t>authoritative source</w:t>
      </w:r>
      <w:r w:rsidRPr="00E14457">
        <w:t xml:space="preserve"> for so much more.</w:t>
      </w:r>
    </w:p>
    <w:p w14:paraId="59D4C681" w14:textId="77777777" w:rsidR="00E14457" w:rsidRPr="00E14457" w:rsidRDefault="00E14457" w:rsidP="00E14457"/>
    <w:p w14:paraId="6B57043F" w14:textId="2D1BD8EC" w:rsidR="00E14457" w:rsidRPr="00E14457" w:rsidRDefault="00E14457" w:rsidP="00E14457">
      <w:r w:rsidRPr="00E14457">
        <w:t xml:space="preserve">In article 42 of the SDGR it states how the Regulation and </w:t>
      </w:r>
      <w:r w:rsidR="00FE670E">
        <w:t>the OOP</w:t>
      </w:r>
      <w:r w:rsidRPr="00E14457">
        <w:t xml:space="preserve"> should comply with all of the data protection rules. It specifically identifies the following principles: data minimization, accuracy, storage limitation, integrity and confidentiality, necessity, proportionality, and purpose limitation. It also highlights that the implementation of the regulation should comply fully with “principles of security by design and of privacy by design, and should also respect the fundamental rights of individuals, including those related to fairness and transparency”. </w:t>
      </w:r>
    </w:p>
    <w:p w14:paraId="02EBCD60" w14:textId="7734486F" w:rsidR="00286CD8" w:rsidRDefault="00E14457">
      <w:r w:rsidRPr="00E14457">
        <w:br/>
        <w:t>Within the EU, understanding of the OOP varies. In some countries, the OOP is understood in legislation that there is existing only original data with no duplication in other databases, while in other countries the OOP is understood that data is provided only once by citizens or businesses</w:t>
      </w:r>
      <w:r w:rsidR="00C65BEF">
        <w:t xml:space="preserve">. </w:t>
      </w:r>
      <w:r w:rsidRPr="00E14457">
        <w:t xml:space="preserve">In the EU framework, the OOP means that a citizen does not have to constantly provide his basic data if they had already provided once to the government entities. The </w:t>
      </w:r>
      <w:r w:rsidR="00FE670E">
        <w:t>OOP</w:t>
      </w:r>
      <w:r w:rsidRPr="00E14457">
        <w:t xml:space="preserve"> states that a citizen does not have to constantly provide his standard information before using a digitalized public service by allowing public administrations to share his data. In addition, there is an article that highlights how it should minimize the amount of data exchanged to only the specific data that is requested. </w:t>
      </w:r>
    </w:p>
    <w:p w14:paraId="5B929C7C" w14:textId="77777777" w:rsidR="000A6003" w:rsidRDefault="009D0F65">
      <w:pPr>
        <w:pStyle w:val="Heading2"/>
      </w:pPr>
      <w:bookmarkStart w:id="21" w:name="_Toc134081053"/>
      <w:r>
        <w:t>Government-Issued Digital Credential Systems</w:t>
      </w:r>
      <w:bookmarkEnd w:id="21"/>
    </w:p>
    <w:p w14:paraId="65E3A125" w14:textId="4956B6C7" w:rsidR="00E60CD2" w:rsidRDefault="009D0F65">
      <w:r>
        <w:t xml:space="preserve">There are a variety of use cases driving governments to issue digital credentials. From digital </w:t>
      </w:r>
      <w:r w:rsidR="00DF5607">
        <w:t>national insurance</w:t>
      </w:r>
      <w:r>
        <w:t xml:space="preserve"> cards to mobile driver’s licenses, countries around the world are exploring ways to make data more current, convenient, and less susceptible to fraud. </w:t>
      </w:r>
      <w:r w:rsidR="00132EBC">
        <w:t>As introduced above, government-issued credentials can convey legal identity as the result of an identity resolution process that establishes veracity and uniqueness within the population. As governments transition to digital credentials, digital signatures are being used to protect the associated legal (foundational) identity information, which may include biometric data, from fraud as authenticity and integrity can be determined cryptographically.</w:t>
      </w:r>
    </w:p>
    <w:p w14:paraId="5C658745" w14:textId="77777777" w:rsidR="00E60CD2" w:rsidRDefault="00E60CD2"/>
    <w:p w14:paraId="58CA7A9C" w14:textId="77777777" w:rsidR="00E60CD2" w:rsidRDefault="00E60CD2" w:rsidP="00E60CD2">
      <w:r>
        <w:t>While many countries are including privacy principles in their regulations and services, privacy is only one of many considerations for these new systems. The more immediate motivations for issuing government digital identity credentials include:</w:t>
      </w:r>
    </w:p>
    <w:p w14:paraId="6ACE87DD" w14:textId="77777777" w:rsidR="00E60CD2" w:rsidRDefault="00E60CD2" w:rsidP="00E60CD2"/>
    <w:p w14:paraId="103F1748" w14:textId="77777777" w:rsidR="00E60CD2" w:rsidRDefault="00E60CD2" w:rsidP="00E60CD2">
      <w:pPr>
        <w:pStyle w:val="ListParagraph"/>
        <w:numPr>
          <w:ilvl w:val="0"/>
          <w:numId w:val="8"/>
        </w:numPr>
      </w:pPr>
      <w:r>
        <w:lastRenderedPageBreak/>
        <w:t>helping people to assert their identity more easily online and in person (e.g., open a bank account, purchase age-restricted goods, assert rights to access government benefits, travel with more ease),</w:t>
      </w:r>
    </w:p>
    <w:p w14:paraId="5F6CF182" w14:textId="77777777" w:rsidR="00E60CD2" w:rsidRDefault="00E60CD2" w:rsidP="00E60CD2">
      <w:pPr>
        <w:pStyle w:val="ListParagraph"/>
        <w:numPr>
          <w:ilvl w:val="0"/>
          <w:numId w:val="8"/>
        </w:numPr>
      </w:pPr>
      <w:r>
        <w:t xml:space="preserve">control fraud (e.g., illegal collection of benefits, submitting fake credentials to open financial accounts), </w:t>
      </w:r>
    </w:p>
    <w:p w14:paraId="7179E596" w14:textId="240359E8" w:rsidR="00E60CD2" w:rsidRDefault="00E60CD2" w:rsidP="00E60CD2">
      <w:pPr>
        <w:pStyle w:val="ListParagraph"/>
        <w:numPr>
          <w:ilvl w:val="0"/>
          <w:numId w:val="8"/>
        </w:numPr>
      </w:pPr>
      <w:r>
        <w:t xml:space="preserve">helping people assert their right to age restricted products or gain </w:t>
      </w:r>
      <w:r w:rsidR="00B265F0">
        <w:t>access</w:t>
      </w:r>
      <w:r>
        <w:t xml:space="preserve"> to other services, and</w:t>
      </w:r>
    </w:p>
    <w:p w14:paraId="6C6991C4" w14:textId="5B6EB2DB" w:rsidR="00E60CD2" w:rsidRDefault="00E60CD2" w:rsidP="00E60CD2">
      <w:pPr>
        <w:pStyle w:val="ListParagraph"/>
        <w:numPr>
          <w:ilvl w:val="0"/>
          <w:numId w:val="8"/>
        </w:numPr>
      </w:pPr>
      <w:r>
        <w:t>ease of travel</w:t>
      </w:r>
      <w:r w:rsidR="003B34DD">
        <w:t xml:space="preserve">. </w:t>
      </w:r>
    </w:p>
    <w:p w14:paraId="1EEFB001" w14:textId="77777777" w:rsidR="00E60CD2" w:rsidRDefault="00E60CD2"/>
    <w:p w14:paraId="24627069" w14:textId="7BB1627C" w:rsidR="00E60CD2" w:rsidRDefault="009D0F65">
      <w:r>
        <w:t>The interesting challenge is that governments are simultaneously the credential issuer, consumer</w:t>
      </w:r>
      <w:r w:rsidR="00DF5607">
        <w:t>,</w:t>
      </w:r>
      <w:r>
        <w:t xml:space="preserve"> and regulator. The government is issuing the credential for economy-wide use, they are </w:t>
      </w:r>
      <w:r w:rsidR="00E60CD2">
        <w:t>consuming</w:t>
      </w:r>
      <w:r>
        <w:t xml:space="preserve"> digital identity credentials to ensure </w:t>
      </w:r>
      <w:r w:rsidR="00DF5607">
        <w:t>an individual’s</w:t>
      </w:r>
      <w:r>
        <w:t xml:space="preserve"> right to access benefits, and the</w:t>
      </w:r>
      <w:r w:rsidR="00E60CD2">
        <w:t>y are regulating their own use</w:t>
      </w:r>
      <w:r>
        <w:t xml:space="preserve">. These </w:t>
      </w:r>
      <w:r w:rsidR="00F70DBB">
        <w:t>perspectives</w:t>
      </w:r>
      <w:r>
        <w:t xml:space="preserve"> are complicated by the fact that all roles need to be matured at roughly the same time</w:t>
      </w:r>
      <w:r w:rsidR="00F70DBB">
        <w:t xml:space="preserve"> and will often</w:t>
      </w:r>
      <w:r>
        <w:t xml:space="preserve"> cut across departmental</w:t>
      </w:r>
      <w:r w:rsidR="00F70DBB">
        <w:t>, local, national, and even regional</w:t>
      </w:r>
      <w:r w:rsidR="007B2F92">
        <w:t xml:space="preserve"> levels</w:t>
      </w:r>
      <w:r>
        <w:t xml:space="preserve">. In this context, a city-state model like Singapore’s Singpass is a single jurisdiction and </w:t>
      </w:r>
      <w:r w:rsidR="007B2F92">
        <w:t xml:space="preserve">provides a </w:t>
      </w:r>
      <w:r>
        <w:t xml:space="preserve">concentrated government structure, </w:t>
      </w:r>
      <w:r w:rsidR="007B2F92">
        <w:t xml:space="preserve">whereas </w:t>
      </w:r>
      <w:r w:rsidR="00DF5607">
        <w:t>EU’s</w:t>
      </w:r>
      <w:r>
        <w:t xml:space="preserve"> eIDA</w:t>
      </w:r>
      <w:r w:rsidR="00B265F0">
        <w:t>S</w:t>
      </w:r>
      <w:r>
        <w:t xml:space="preserve"> 2.0 spans </w:t>
      </w:r>
      <w:r w:rsidR="007B2F92">
        <w:t xml:space="preserve">several </w:t>
      </w:r>
      <w:r>
        <w:t xml:space="preserve">national and regional laws and systems. </w:t>
      </w:r>
    </w:p>
    <w:p w14:paraId="2994CCDA" w14:textId="77777777" w:rsidR="000A6003" w:rsidRDefault="000A6003"/>
    <w:p w14:paraId="4C838709" w14:textId="5F1C1BC4" w:rsidR="000A6003" w:rsidRDefault="009D0F65">
      <w:r>
        <w:t xml:space="preserve">eIDAS 2.0 is </w:t>
      </w:r>
      <w:r w:rsidR="00B9782D">
        <w:t>started to be considered</w:t>
      </w:r>
      <w:r>
        <w:t xml:space="preserve"> a </w:t>
      </w:r>
      <w:r w:rsidR="00B9782D">
        <w:t xml:space="preserve">potential </w:t>
      </w:r>
      <w:r>
        <w:t>model by other governments for how to develop government-issued digital credentials for their citizens, but other regions are offering leadership in this space as well. India’s Aadhaar system,</w:t>
      </w:r>
      <w:r>
        <w:rPr>
          <w:vertAlign w:val="superscript"/>
        </w:rPr>
        <w:footnoteReference w:id="24"/>
      </w:r>
      <w:r>
        <w:t xml:space="preserve"> Singapore’s Singpass,</w:t>
      </w:r>
      <w:r>
        <w:rPr>
          <w:vertAlign w:val="superscript"/>
        </w:rPr>
        <w:footnoteReference w:id="25"/>
      </w:r>
      <w:r>
        <w:t xml:space="preserve"> Italy’s Public Digital Identity Systems</w:t>
      </w:r>
      <w:r w:rsidR="00B069E7">
        <w:t>, and various U.S. states’ mobile driver’s licenses</w:t>
      </w:r>
      <w:r>
        <w:t xml:space="preserve"> are just a few of the government-issued digital credential programs </w:t>
      </w:r>
      <w:r w:rsidR="00B069E7">
        <w:t>used daily by a significant portion of their populations</w:t>
      </w:r>
      <w:r>
        <w:t>.</w:t>
      </w:r>
    </w:p>
    <w:p w14:paraId="67F79EA3" w14:textId="77777777" w:rsidR="004A6923" w:rsidRDefault="004A6923"/>
    <w:p w14:paraId="5642F94A" w14:textId="19E82605" w:rsidR="004A6923" w:rsidRDefault="004A6923">
      <w:r>
        <w:t xml:space="preserve">The European Digital Identity Wallet resulting from eIDAS 2.0 is an important model as it separates the Person Identification Data (PID) from other qualified and </w:t>
      </w:r>
      <w:r w:rsidR="004F3EF4">
        <w:t>unqualified</w:t>
      </w:r>
      <w:r>
        <w:t xml:space="preserve"> identity data in the issuance process which remains a government (Member State) activity and verification process – where PID is only shared when legally required. Unlike Aadhaar, Sing</w:t>
      </w:r>
      <w:r w:rsidR="004F3EF4">
        <w:t>p</w:t>
      </w:r>
      <w:r>
        <w:t xml:space="preserve">ass, and other centralized identity models, issuers are not involved in the verification process which reduces transaction </w:t>
      </w:r>
      <w:proofErr w:type="spellStart"/>
      <w:r>
        <w:t>linkability</w:t>
      </w:r>
      <w:proofErr w:type="spellEnd"/>
      <w:r>
        <w:t>. The next section provides further detail.</w:t>
      </w:r>
    </w:p>
    <w:p w14:paraId="6CE034D1" w14:textId="77777777" w:rsidR="000A6003" w:rsidRDefault="000A6003"/>
    <w:p w14:paraId="5888B291" w14:textId="79D0645E" w:rsidR="000A6003" w:rsidRDefault="00F70DBB">
      <w:r>
        <w:t>There are other systems in production today</w:t>
      </w:r>
      <w:r w:rsidR="00232228">
        <w:t>, and what works in one country may not work in another due to differences in legal frameworks, the level of digital literacy of the population, and cultural expectations</w:t>
      </w:r>
      <w:r>
        <w:t>. The ones in this paper were selected to show the diversity of deployments currently in use.</w:t>
      </w:r>
      <w:r w:rsidR="002B2ECA">
        <w:rPr>
          <w:rStyle w:val="FootnoteReference"/>
        </w:rPr>
        <w:footnoteReference w:id="26"/>
      </w:r>
    </w:p>
    <w:p w14:paraId="4E7924B0" w14:textId="77777777" w:rsidR="00BC5C1D" w:rsidRDefault="00BC5C1D" w:rsidP="00BC5C1D">
      <w:pPr>
        <w:pStyle w:val="Heading3"/>
      </w:pPr>
      <w:bookmarkStart w:id="22" w:name="_Toc134081054"/>
      <w:r w:rsidRPr="00694EAE">
        <w:rPr>
          <w:bCs/>
        </w:rPr>
        <w:lastRenderedPageBreak/>
        <w:t xml:space="preserve">eIDAS 2.0 (electronic </w:t>
      </w:r>
      <w:proofErr w:type="spellStart"/>
      <w:r w:rsidRPr="00694EAE">
        <w:rPr>
          <w:bCs/>
        </w:rPr>
        <w:t>IDentification</w:t>
      </w:r>
      <w:proofErr w:type="spellEnd"/>
      <w:r w:rsidRPr="00694EAE">
        <w:rPr>
          <w:bCs/>
        </w:rPr>
        <w:t>, Authentication, and trust Services)</w:t>
      </w:r>
      <w:bookmarkEnd w:id="22"/>
    </w:p>
    <w:p w14:paraId="188142B1" w14:textId="77777777" w:rsidR="00BC5C1D" w:rsidRDefault="00BC5C1D" w:rsidP="00BC5C1D">
      <w:r>
        <w:t>The eIDAS regulation was originally established in EU Regulation 910/2014 on 23 July 2014 and has received new attention thanks to a recent revision, commonly referred to as eIDAS 2.0. Expected to be in force by September 2023, eIDAS 2.0 requires all EU member states make Digital Identity Wallets (the EUDI Wallet) available to all EU citizens, residents, and businesses that are interoperable across the EU. So, while eIDAS 2.0 is a legal construct that focuses on wallets in general and not on credentials, we have placed it in this section on credentials because of the future intent for those wallets to include government-issued digital credentials.</w:t>
      </w:r>
    </w:p>
    <w:p w14:paraId="31E8301B" w14:textId="77777777" w:rsidR="00BC5C1D" w:rsidRDefault="00BC5C1D" w:rsidP="00BC5C1D"/>
    <w:p w14:paraId="338A514E" w14:textId="77777777" w:rsidR="00BC5C1D" w:rsidRDefault="00BC5C1D" w:rsidP="00BC5C1D">
      <w:r>
        <w:t>The EU is making powerful moves towards enabling digital credentials to be not just replacements for, but improvements to physical credentials. By clearly defining the architecture and encouraging large-scale pilots, member states are expecting to see innovation happen rapidly and at scale.</w:t>
      </w:r>
      <w:r>
        <w:rPr>
          <w:rStyle w:val="FootnoteReference"/>
        </w:rPr>
        <w:footnoteReference w:id="27"/>
      </w:r>
      <w:r>
        <w:t xml:space="preserve"> With the GDPR providing the core legal framework for the privacy protection of personal data and NIS2 establishing cybersecurity requirements that, while not specific to privacy, will enhance the privacy posture of the EU, privacy protections are a strong consideration for this new digital ecosystem.</w:t>
      </w:r>
    </w:p>
    <w:p w14:paraId="5C5DDA7A" w14:textId="77777777" w:rsidR="00BC5C1D" w:rsidRDefault="00BC5C1D" w:rsidP="00BC5C1D"/>
    <w:p w14:paraId="17935C8E" w14:textId="77777777" w:rsidR="00BC5C1D" w:rsidRDefault="00BC5C1D" w:rsidP="00BC5C1D">
      <w:r>
        <w:t xml:space="preserve">eIDAS 2.0 requires several characteristics that enhance the privacy protection available with the use of digital credentials, most critically enabling “people to choose which aspects of their identity, </w:t>
      </w:r>
      <w:proofErr w:type="gramStart"/>
      <w:r>
        <w:t>data</w:t>
      </w:r>
      <w:proofErr w:type="gramEnd"/>
      <w:r>
        <w:t xml:space="preserve"> and certificates they share with third parties, and to keep track of such sharing. User control ensures that only information that needs to be shared will be shared.”</w:t>
      </w:r>
      <w:r>
        <w:rPr>
          <w:vertAlign w:val="superscript"/>
        </w:rPr>
        <w:footnoteReference w:id="28"/>
      </w:r>
      <w:r>
        <w:t xml:space="preserve"> Each member state is free to develop the technologies appropriate to eIDAS requirements; as long as the technologies interoperate across borders, the details are left to the implementers. </w:t>
      </w:r>
    </w:p>
    <w:p w14:paraId="0B526C16" w14:textId="77777777" w:rsidR="00BC5C1D" w:rsidRDefault="00BC5C1D" w:rsidP="00BC5C1D"/>
    <w:p w14:paraId="740939D1" w14:textId="54621D9F" w:rsidR="00BC5C1D" w:rsidRDefault="00BC5C1D" w:rsidP="00BC5C1D">
      <w:r>
        <w:t>That said, several privacy advocates and civil societies have indicated significant concerns regarding eIDAS 2.0, ranging from issues regarding unique and persistent identifiers (enabling individual tracking and profiling) to centralization of data (raising the specter of the surveillance state).</w:t>
      </w:r>
      <w:r>
        <w:rPr>
          <w:vertAlign w:val="superscript"/>
        </w:rPr>
        <w:footnoteReference w:id="29"/>
      </w:r>
      <w:r>
        <w:t xml:space="preserve"> In addition, the lack of legal mechanisms to identify and address </w:t>
      </w:r>
      <w:r>
        <w:lastRenderedPageBreak/>
        <w:t>criminal or fraudulent uses of the system in cross-border cases raises red flags.</w:t>
      </w:r>
      <w:r>
        <w:rPr>
          <w:vertAlign w:val="superscript"/>
        </w:rPr>
        <w:footnoteReference w:id="30"/>
      </w:r>
      <w:r>
        <w:t xml:space="preserve"> It is also worth noting that while offering control to individuals is a necessary component to enabling privacy, it is not sufficient in that services may request more information than they absolutely need (though they may have a different interpretation over what is actually needed). Similarly, while eIDAS 2.0 has provisions where individuals are allowed to request </w:t>
      </w:r>
      <w:r w:rsidRPr="009466A3">
        <w:t>issu</w:t>
      </w:r>
      <w:r>
        <w:t>ance of</w:t>
      </w:r>
      <w:r w:rsidRPr="009466A3">
        <w:t xml:space="preserve"> unique and persistent identifiers for cross-border use</w:t>
      </w:r>
      <w:r>
        <w:t>, expecting the individual to understand all the choices open to them during a transaction where their primary goal is to get to the end result is less than ideal.</w:t>
      </w:r>
      <w:r>
        <w:rPr>
          <w:rStyle w:val="FootnoteReference"/>
        </w:rPr>
        <w:footnoteReference w:id="31"/>
      </w:r>
      <w:r>
        <w:t xml:space="preserve"> </w:t>
      </w:r>
    </w:p>
    <w:p w14:paraId="20FBFF1D" w14:textId="77777777" w:rsidR="00BC5C1D" w:rsidRDefault="00BC5C1D" w:rsidP="00BC5C1D"/>
    <w:p w14:paraId="7E76BC7F" w14:textId="77777777" w:rsidR="00BC5C1D" w:rsidRDefault="00BC5C1D" w:rsidP="00BC5C1D">
      <w:r>
        <w:t>eIDAS 2.0 focuses on the wallet itself rather than defining the credential format for the credentials that governments may store in it. Guidance on the format, privacy protections, and general use of government-issued digital credentials is expected to be part of the implementation act for eIDAS 2.0.</w:t>
      </w:r>
      <w:r>
        <w:rPr>
          <w:vertAlign w:val="superscript"/>
        </w:rPr>
        <w:footnoteReference w:id="32"/>
      </w:r>
      <w:r>
        <w:t xml:space="preserve"> </w:t>
      </w:r>
    </w:p>
    <w:p w14:paraId="0F3738D3" w14:textId="77777777" w:rsidR="000A6003" w:rsidRDefault="009D0F65">
      <w:pPr>
        <w:pStyle w:val="Heading3"/>
      </w:pPr>
      <w:bookmarkStart w:id="23" w:name="_Toc134081055"/>
      <w:r>
        <w:t>India’s Aadhaar System</w:t>
      </w:r>
      <w:bookmarkEnd w:id="23"/>
    </w:p>
    <w:p w14:paraId="548BA974" w14:textId="53173A6C" w:rsidR="000A6003" w:rsidRDefault="009D0F65">
      <w:r>
        <w:t>The largest government-issued identity program in the world when it comes to the number of registered participants and monthly transactions is India’s Aadhaar system.</w:t>
      </w:r>
      <w:r>
        <w:rPr>
          <w:vertAlign w:val="superscript"/>
        </w:rPr>
        <w:footnoteReference w:id="33"/>
      </w:r>
      <w:r>
        <w:t xml:space="preserve"> Originally launched in 2010 and </w:t>
      </w:r>
      <w:r w:rsidR="00316C60">
        <w:t xml:space="preserve">moving towards broad adoption </w:t>
      </w:r>
      <w:r>
        <w:t>as a result of</w:t>
      </w:r>
      <w:r w:rsidR="00E60CD2">
        <w:t xml:space="preserve"> India’s</w:t>
      </w:r>
      <w:r>
        <w:t xml:space="preserve"> Supreme Court judgment</w:t>
      </w:r>
      <w:r w:rsidR="00316C60">
        <w:t xml:space="preserve"> </w:t>
      </w:r>
      <w:r w:rsidR="00950CA4">
        <w:t>supporting the validity of Aadhaar</w:t>
      </w:r>
      <w:r>
        <w:t xml:space="preserve"> in 2018, the Aadhaar system is an interesting model to consider for large-scale deployments.</w:t>
      </w:r>
      <w:r>
        <w:rPr>
          <w:vertAlign w:val="superscript"/>
        </w:rPr>
        <w:footnoteReference w:id="34"/>
      </w:r>
    </w:p>
    <w:p w14:paraId="0CF0A6D4" w14:textId="77777777" w:rsidR="000A6003" w:rsidRDefault="000A6003"/>
    <w:p w14:paraId="1E2A92E9" w14:textId="77777777" w:rsidR="004A6923" w:rsidRDefault="004A6923" w:rsidP="004A6923">
      <w:r>
        <w:t>The Unique Identification Authority of India (UIDAI) operates this centralized, biometrics-based identification system which provides the following primary identity functions:</w:t>
      </w:r>
    </w:p>
    <w:p w14:paraId="6252A592" w14:textId="036F20BD" w:rsidR="004A6923" w:rsidRDefault="004A6923" w:rsidP="004A6923">
      <w:pPr>
        <w:pStyle w:val="ListParagraph"/>
        <w:numPr>
          <w:ilvl w:val="0"/>
          <w:numId w:val="749"/>
        </w:numPr>
      </w:pPr>
      <w:r w:rsidRPr="00254DA1">
        <w:rPr>
          <w:b/>
          <w:bCs/>
        </w:rPr>
        <w:t>Registration</w:t>
      </w:r>
      <w:r>
        <w:t xml:space="preserve"> – Enroll basic demographic information along with face, finger, and iris biometric </w:t>
      </w:r>
      <w:r w:rsidR="004F3EF4">
        <w:t>data.</w:t>
      </w:r>
    </w:p>
    <w:p w14:paraId="17A6C355" w14:textId="713F2978" w:rsidR="004A6923" w:rsidRDefault="004A6923" w:rsidP="004A6923">
      <w:pPr>
        <w:pStyle w:val="ListParagraph"/>
        <w:numPr>
          <w:ilvl w:val="0"/>
          <w:numId w:val="749"/>
        </w:numPr>
      </w:pPr>
      <w:r w:rsidRPr="00254DA1">
        <w:rPr>
          <w:b/>
          <w:bCs/>
        </w:rPr>
        <w:t>De-duplication</w:t>
      </w:r>
      <w:r>
        <w:t xml:space="preserve"> – Establish uniqueness using fingerprints and irises and multiple biometric service </w:t>
      </w:r>
      <w:r w:rsidR="004F3EF4">
        <w:t>providers.</w:t>
      </w:r>
    </w:p>
    <w:p w14:paraId="73A05FEE" w14:textId="2ADABA76" w:rsidR="004A6923" w:rsidRDefault="004A6923" w:rsidP="004A6923">
      <w:pPr>
        <w:pStyle w:val="ListParagraph"/>
        <w:numPr>
          <w:ilvl w:val="0"/>
          <w:numId w:val="749"/>
        </w:numPr>
      </w:pPr>
      <w:r w:rsidRPr="00254DA1">
        <w:rPr>
          <w:b/>
          <w:bCs/>
        </w:rPr>
        <w:t>Adjudication</w:t>
      </w:r>
      <w:r>
        <w:t xml:space="preserve"> – Manually determine if any anomaly, e.g., duplicate, is legitimate or </w:t>
      </w:r>
      <w:r w:rsidR="004F3EF4">
        <w:t>fraudulent.</w:t>
      </w:r>
      <w:r>
        <w:t xml:space="preserve"> </w:t>
      </w:r>
    </w:p>
    <w:p w14:paraId="6A8D154F" w14:textId="3DB475FC" w:rsidR="004A6923" w:rsidRPr="00DC4B06" w:rsidRDefault="004A6923" w:rsidP="004A6923">
      <w:pPr>
        <w:pStyle w:val="ListParagraph"/>
        <w:numPr>
          <w:ilvl w:val="0"/>
          <w:numId w:val="749"/>
        </w:numPr>
      </w:pPr>
      <w:r>
        <w:rPr>
          <w:b/>
          <w:bCs/>
        </w:rPr>
        <w:t xml:space="preserve">Provisioning </w:t>
      </w:r>
      <w:r w:rsidRPr="00DC4B06">
        <w:t xml:space="preserve">– Generate an Aadhaar number after uniqueness is established and inform the </w:t>
      </w:r>
      <w:r w:rsidR="004F3EF4" w:rsidRPr="00DC4B06">
        <w:t>registrant.</w:t>
      </w:r>
    </w:p>
    <w:p w14:paraId="41776E9C" w14:textId="77777777" w:rsidR="004A6923" w:rsidRDefault="004A6923" w:rsidP="004A6923">
      <w:pPr>
        <w:pStyle w:val="ListParagraph"/>
        <w:numPr>
          <w:ilvl w:val="0"/>
          <w:numId w:val="749"/>
        </w:numPr>
      </w:pPr>
      <w:r w:rsidRPr="00254DA1">
        <w:rPr>
          <w:b/>
          <w:bCs/>
        </w:rPr>
        <w:lastRenderedPageBreak/>
        <w:t>Authentication</w:t>
      </w:r>
      <w:r>
        <w:rPr>
          <w:b/>
          <w:bCs/>
        </w:rPr>
        <w:t xml:space="preserve"> – </w:t>
      </w:r>
      <w:r>
        <w:t>Compare the biometric probe provided in the request against the candidate on file for the Aadhaar number given and provide</w:t>
      </w:r>
      <w:r w:rsidRPr="00254DA1">
        <w:t xml:space="preserve"> a</w:t>
      </w:r>
      <w:r>
        <w:rPr>
          <w:b/>
          <w:bCs/>
        </w:rPr>
        <w:t xml:space="preserve"> </w:t>
      </w:r>
      <w:r w:rsidRPr="00254DA1">
        <w:t>result</w:t>
      </w:r>
      <w:r>
        <w:t>.</w:t>
      </w:r>
    </w:p>
    <w:p w14:paraId="1C706049" w14:textId="77777777" w:rsidR="004A6923" w:rsidRDefault="004A6923"/>
    <w:p w14:paraId="10747CC0" w14:textId="3D291D06" w:rsidR="003F10C2" w:rsidRDefault="009D0F65">
      <w:r>
        <w:t>The body of research and reporting on the Aadhaar system post the 2018 Supreme Court judgment that found the Aadhaar system largely in compliance with India’s constitution</w:t>
      </w:r>
      <w:r w:rsidR="00F70DBB">
        <w:t>.</w:t>
      </w:r>
      <w:r w:rsidR="00F70DBB">
        <w:rPr>
          <w:vertAlign w:val="superscript"/>
        </w:rPr>
        <w:footnoteReference w:id="35"/>
      </w:r>
      <w:r w:rsidR="00F70DBB">
        <w:t xml:space="preserve"> The judgement was</w:t>
      </w:r>
      <w:r>
        <w:t xml:space="preserve"> significant </w:t>
      </w:r>
      <w:r w:rsidR="00F70DBB">
        <w:t>in that it paved the way for Aadhaar to move into broad adoption. It</w:t>
      </w:r>
      <w:r>
        <w:t xml:space="preserve"> include</w:t>
      </w:r>
      <w:r w:rsidR="00F70DBB">
        <w:t>d</w:t>
      </w:r>
      <w:r>
        <w:t xml:space="preserve"> several common themes regarding the privacy considerations of the system</w:t>
      </w:r>
      <w:r w:rsidR="00F70DBB">
        <w:t>, finding the revised system in compliance with India’s constitution</w:t>
      </w:r>
      <w:r>
        <w:t>.</w:t>
      </w:r>
      <w:r w:rsidR="00F70DBB">
        <w:t xml:space="preserve"> India’s Supreme Court aside, </w:t>
      </w:r>
      <w:r>
        <w:t>academic researchers and other members of civil society consider the Aadhaar system a concerning example of government surveillance of its citizens</w:t>
      </w:r>
      <w:r w:rsidR="004E4C4F">
        <w:t xml:space="preserve"> and registered residents</w:t>
      </w:r>
      <w:r>
        <w:t>.</w:t>
      </w:r>
      <w:r>
        <w:rPr>
          <w:vertAlign w:val="superscript"/>
        </w:rPr>
        <w:footnoteReference w:id="36"/>
      </w:r>
      <w:r>
        <w:t xml:space="preserve"> Countering that, the government has reported that the Aadhaar system has saved the state over Rs 2 trillion (USD$24billion) over the last nine years to eliminate duplicate and fraudulent identities.</w:t>
      </w:r>
      <w:r>
        <w:rPr>
          <w:vertAlign w:val="superscript"/>
        </w:rPr>
        <w:footnoteReference w:id="37"/>
      </w:r>
      <w:r>
        <w:t xml:space="preserve"> Obviously, this is not a like-to-like comparison, as putting a monetary value to privacy is challenging in the best of times, but it does explain the tension between moving to a national identity system and enacting strong privacy protections for individuals.</w:t>
      </w:r>
    </w:p>
    <w:p w14:paraId="1CE9568C" w14:textId="77777777" w:rsidR="001A490C" w:rsidRDefault="001A490C"/>
    <w:p w14:paraId="19B3DBB5" w14:textId="57D01698" w:rsidR="001A490C" w:rsidRDefault="001A490C">
      <w:r>
        <w:t>Services available to Aadhaar holders and service providers include:</w:t>
      </w:r>
      <w:r>
        <w:rPr>
          <w:rStyle w:val="FootnoteReference"/>
        </w:rPr>
        <w:footnoteReference w:id="38"/>
      </w:r>
    </w:p>
    <w:p w14:paraId="2C777AF5" w14:textId="77777777" w:rsidR="001A490C" w:rsidRDefault="001A490C"/>
    <w:p w14:paraId="6B81E13A" w14:textId="41C09CDE" w:rsidR="001A490C" w:rsidRPr="001A490C" w:rsidRDefault="001A490C" w:rsidP="001A490C">
      <w:pPr>
        <w:numPr>
          <w:ilvl w:val="0"/>
          <w:numId w:val="9"/>
        </w:numPr>
      </w:pPr>
      <w:r w:rsidRPr="001A490C">
        <w:rPr>
          <w:b/>
          <w:bCs/>
        </w:rPr>
        <w:t>Verify Aadhaar Number:</w:t>
      </w:r>
      <w:r>
        <w:rPr>
          <w:b/>
          <w:bCs/>
        </w:rPr>
        <w:t xml:space="preserve"> </w:t>
      </w:r>
      <w:r w:rsidRPr="001A490C">
        <w:t>This will enable service providers and Aadhaar number holders to verify if the Aadhaar number is valid and is not deactivated</w:t>
      </w:r>
      <w:r>
        <w:t>.</w:t>
      </w:r>
    </w:p>
    <w:p w14:paraId="70AA6428" w14:textId="154EC791" w:rsidR="001A490C" w:rsidRPr="001A490C" w:rsidRDefault="001A490C" w:rsidP="001A490C">
      <w:pPr>
        <w:numPr>
          <w:ilvl w:val="0"/>
          <w:numId w:val="9"/>
        </w:numPr>
      </w:pPr>
      <w:r w:rsidRPr="001A490C">
        <w:rPr>
          <w:b/>
          <w:bCs/>
        </w:rPr>
        <w:t xml:space="preserve">Verify Email/Mobile Number: </w:t>
      </w:r>
      <w:r w:rsidRPr="001A490C">
        <w:t>Aadhaar number holder’s registered mobile number is essential to access Aadhaar online services as well as Aadhaar enabled benefits. Residents can verify their already registered email address and mobile number</w:t>
      </w:r>
      <w:r>
        <w:t>.</w:t>
      </w:r>
    </w:p>
    <w:p w14:paraId="53D1368F" w14:textId="0A4AD421" w:rsidR="001A490C" w:rsidRPr="001A490C" w:rsidRDefault="001A490C" w:rsidP="001A490C">
      <w:pPr>
        <w:numPr>
          <w:ilvl w:val="0"/>
          <w:numId w:val="9"/>
        </w:numPr>
      </w:pPr>
      <w:r w:rsidRPr="001A490C">
        <w:rPr>
          <w:b/>
          <w:bCs/>
        </w:rPr>
        <w:t xml:space="preserve">Lock/Unlock Biometrics: </w:t>
      </w:r>
      <w:r w:rsidRPr="001A490C">
        <w:t>Aadhaar number holders can secure their biometric authentication by locking their biometrics. Once locked, same cannot be used by anyone for authentication. Residents can unlock their biometrics before any biometric authentication transaction.</w:t>
      </w:r>
    </w:p>
    <w:p w14:paraId="1C26F8AC" w14:textId="77777777" w:rsidR="001A490C" w:rsidRPr="001A490C" w:rsidRDefault="001A490C" w:rsidP="001A490C">
      <w:pPr>
        <w:numPr>
          <w:ilvl w:val="0"/>
          <w:numId w:val="9"/>
        </w:numPr>
      </w:pPr>
      <w:r w:rsidRPr="001A490C">
        <w:rPr>
          <w:b/>
          <w:bCs/>
        </w:rPr>
        <w:t xml:space="preserve">Check Aadhaar &amp; Bank Account Linking Status: </w:t>
      </w:r>
      <w:r w:rsidRPr="001A490C">
        <w:t xml:space="preserve">Aadhaar holders can check if their Aadhaar is linked to their bank account. Aadhaar Linking status is fetched from </w:t>
      </w:r>
      <w:r w:rsidRPr="001A490C">
        <w:lastRenderedPageBreak/>
        <w:t>NPCI Server. Under any circumstance, UIDAI shall not be responsible or liable for the correctness of the displayed status. Further, UIDAI is not storing any information fetched from NPCI server.</w:t>
      </w:r>
    </w:p>
    <w:p w14:paraId="1E1EA778" w14:textId="3A69A5F8" w:rsidR="001A490C" w:rsidRPr="001A490C" w:rsidRDefault="001A490C" w:rsidP="001A490C">
      <w:pPr>
        <w:numPr>
          <w:ilvl w:val="0"/>
          <w:numId w:val="9"/>
        </w:numPr>
      </w:pPr>
      <w:r w:rsidRPr="001A490C">
        <w:rPr>
          <w:b/>
          <w:bCs/>
        </w:rPr>
        <w:t xml:space="preserve">Aadhaar Authentication History: </w:t>
      </w:r>
      <w:r w:rsidRPr="001A490C">
        <w:t xml:space="preserve">Aadhaar number holders can view the details of </w:t>
      </w:r>
      <w:r w:rsidR="00313184">
        <w:t xml:space="preserve">the </w:t>
      </w:r>
      <w:r w:rsidRPr="001A490C">
        <w:t>Aadhaar Authentication</w:t>
      </w:r>
      <w:r w:rsidR="00313184">
        <w:t xml:space="preserve"> actions</w:t>
      </w:r>
      <w:r w:rsidRPr="001A490C">
        <w:t xml:space="preserve"> </w:t>
      </w:r>
      <w:r w:rsidR="00313184">
        <w:t>t</w:t>
      </w:r>
      <w:r w:rsidRPr="001A490C">
        <w:t>hey have done.</w:t>
      </w:r>
    </w:p>
    <w:p w14:paraId="190B56ED" w14:textId="0F4FA023" w:rsidR="001A490C" w:rsidRPr="001A490C" w:rsidRDefault="001A490C" w:rsidP="001A490C">
      <w:pPr>
        <w:numPr>
          <w:ilvl w:val="0"/>
          <w:numId w:val="9"/>
        </w:numPr>
      </w:pPr>
      <w:r w:rsidRPr="001A490C">
        <w:rPr>
          <w:b/>
          <w:bCs/>
        </w:rPr>
        <w:t>Offline Aadhaar Data Verification:</w:t>
      </w:r>
      <w:r>
        <w:rPr>
          <w:b/>
          <w:bCs/>
        </w:rPr>
        <w:t xml:space="preserve"> </w:t>
      </w:r>
      <w:r w:rsidRPr="001A490C">
        <w:t>It is a secure sharable document which can be used by any Aadhaar number holder for offline verification of Identification.</w:t>
      </w:r>
    </w:p>
    <w:p w14:paraId="63127BA4" w14:textId="73B394F6" w:rsidR="001A490C" w:rsidRPr="001A490C" w:rsidRDefault="001A490C" w:rsidP="001A490C">
      <w:pPr>
        <w:numPr>
          <w:ilvl w:val="0"/>
          <w:numId w:val="9"/>
        </w:numPr>
      </w:pPr>
      <w:r w:rsidRPr="001A490C">
        <w:rPr>
          <w:b/>
          <w:bCs/>
        </w:rPr>
        <w:t>Virtual ID Generator:</w:t>
      </w:r>
      <w:r>
        <w:rPr>
          <w:b/>
          <w:bCs/>
        </w:rPr>
        <w:t xml:space="preserve"> </w:t>
      </w:r>
      <w:r w:rsidRPr="001A490C">
        <w:t>Aadhaar Number holders can generate their 16 Digit Virtual ID</w:t>
      </w:r>
      <w:r w:rsidR="00313184">
        <w:t xml:space="preserve"> </w:t>
      </w:r>
      <w:r w:rsidRPr="001A490C">
        <w:t>(VID).</w:t>
      </w:r>
    </w:p>
    <w:p w14:paraId="775644DA" w14:textId="77777777" w:rsidR="001A490C" w:rsidRDefault="001A490C"/>
    <w:p w14:paraId="4BFF53C0" w14:textId="796B96F2" w:rsidR="004F7726" w:rsidRDefault="001A490C">
      <w:r>
        <w:t>The system fundamentally depends on an individual</w:t>
      </w:r>
      <w:r w:rsidR="0034623E">
        <w:t>’</w:t>
      </w:r>
      <w:r>
        <w:t>s biometric information</w:t>
      </w:r>
      <w:r w:rsidR="00950CA4">
        <w:t xml:space="preserve"> to prevent duplication at the time of enrollment</w:t>
      </w:r>
      <w:r w:rsidR="0034623E">
        <w:t>, which we discuss in more depth later in this paper in section 4.2.2 Biometric Technologies. Starting at age 5, children</w:t>
      </w:r>
      <w:r w:rsidR="00950CA4">
        <w:t xml:space="preserve"> whose parents choose to enroll them in the Aadhaar system</w:t>
      </w:r>
      <w:r w:rsidR="0034623E">
        <w:t xml:space="preserve"> must submit their biometric </w:t>
      </w:r>
      <w:r w:rsidR="00950CA4">
        <w:t>for deduplication purposes</w:t>
      </w:r>
      <w:r w:rsidR="0034623E">
        <w:t xml:space="preserve">. </w:t>
      </w:r>
      <w:r w:rsidR="004F7726">
        <w:t>The system also enables a new kind of surveillance, as noted by S</w:t>
      </w:r>
      <w:r w:rsidR="004F7726" w:rsidRPr="004F7726">
        <w:t xml:space="preserve">ilvia </w:t>
      </w:r>
      <w:proofErr w:type="spellStart"/>
      <w:r w:rsidR="004F7726" w:rsidRPr="004F7726">
        <w:t>Masiero</w:t>
      </w:r>
      <w:proofErr w:type="spellEnd"/>
      <w:r w:rsidR="004F7726" w:rsidRPr="004F7726">
        <w:t xml:space="preserve"> and S. Shakti</w:t>
      </w:r>
      <w:r w:rsidR="004F7726">
        <w:t>:</w:t>
      </w:r>
    </w:p>
    <w:p w14:paraId="6846679E" w14:textId="77777777" w:rsidR="004F7726" w:rsidRDefault="004F7726"/>
    <w:p w14:paraId="08C5E852" w14:textId="2170EA70" w:rsidR="000A6003" w:rsidRDefault="00C5772E" w:rsidP="004F7726">
      <w:pPr>
        <w:pStyle w:val="Quote"/>
        <w:jc w:val="left"/>
      </w:pPr>
      <w:r>
        <w:t>“</w:t>
      </w:r>
      <w:r w:rsidR="004F7726">
        <w:t xml:space="preserve">This changes the </w:t>
      </w:r>
      <w:r w:rsidR="004F7726">
        <w:rPr>
          <w:rStyle w:val="highlight"/>
          <w:rFonts w:ascii="Arial" w:hAnsi="Arial" w:cs="Arial"/>
        </w:rPr>
        <w:t>archite</w:t>
      </w:r>
      <w:r w:rsidR="004F7726">
        <w:t>cture of surveillance, moving it from centralized to distributed. Thus, any entity with access to such data, both public (such as providers of social protection schemes—see Nayak, this Special Issue) or private, can possess surveillance power. Moreover, as Shakthi (this Special Issue) highlights, platform owners, and by extension, the tools for surveillance, have themselves become distributed into the private sphere. This leads to a conception of a new type of surveillance, based on both access to, and ownership of, critical data.</w:t>
      </w:r>
      <w:r>
        <w:t>” – Frank Hersey, Biometric Update</w:t>
      </w:r>
      <w:r w:rsidR="004F7726">
        <w:rPr>
          <w:rStyle w:val="FootnoteReference"/>
        </w:rPr>
        <w:footnoteReference w:id="39"/>
      </w:r>
    </w:p>
    <w:p w14:paraId="3F7EA677" w14:textId="77777777" w:rsidR="004F7726" w:rsidRDefault="004F7726" w:rsidP="004F7726"/>
    <w:p w14:paraId="36F6FB2E" w14:textId="17400F80" w:rsidR="004F7726" w:rsidRPr="004F7726" w:rsidRDefault="004F7726" w:rsidP="004F7726">
      <w:r>
        <w:t xml:space="preserve">Regardless of any privacy-related concerns, Aadhaar is considered a model deployment by many countries, resulting in an effort to create an “Aadhaar in a box” - </w:t>
      </w:r>
      <w:r w:rsidRPr="004F7726">
        <w:t>the Modular Open-Source Identification Platform</w:t>
      </w:r>
      <w:r>
        <w:t xml:space="preserve"> (MOSIP).</w:t>
      </w:r>
      <w:r w:rsidR="001D6446">
        <w:rPr>
          <w:rStyle w:val="FootnoteReference"/>
        </w:rPr>
        <w:footnoteReference w:id="40"/>
      </w:r>
      <w:r>
        <w:t xml:space="preserve"> </w:t>
      </w:r>
      <w:r w:rsidR="001D6446">
        <w:t xml:space="preserve">MOSIP is a free, open-source system gaining traction in Africa. </w:t>
      </w:r>
      <w:r>
        <w:t xml:space="preserve">Both the strengths and weaknesses of the Aadhaar system, including all associated privacy considerations, </w:t>
      </w:r>
      <w:r w:rsidR="001D6446">
        <w:t>are likely to proliferate as countries choose this as the model for the government-issued digital credentials and identity services</w:t>
      </w:r>
      <w:r w:rsidR="003B34DD">
        <w:t xml:space="preserve">. </w:t>
      </w:r>
    </w:p>
    <w:p w14:paraId="0E9CBD78" w14:textId="77777777" w:rsidR="00BC5C1D" w:rsidRDefault="00BC5C1D" w:rsidP="00BC5C1D">
      <w:pPr>
        <w:pStyle w:val="Heading3"/>
      </w:pPr>
      <w:bookmarkStart w:id="24" w:name="_Toc134081056"/>
      <w:r>
        <w:lastRenderedPageBreak/>
        <w:t>Italy’s Public Digital Identity System</w:t>
      </w:r>
      <w:bookmarkEnd w:id="24"/>
    </w:p>
    <w:p w14:paraId="2E1D59B8" w14:textId="77777777" w:rsidR="00BC5C1D" w:rsidRDefault="00BC5C1D" w:rsidP="00BC5C1D">
      <w:r>
        <w:t xml:space="preserve">In Italy, the government has been working on government-issued digital credentials for nearly ten years. This effort is part of a larger digital transformation effort for the country. The first public system designed around the citizen and public administration was the Sistema </w:t>
      </w:r>
      <w:proofErr w:type="spellStart"/>
      <w:r>
        <w:t>Pubblico</w:t>
      </w:r>
      <w:proofErr w:type="spellEnd"/>
      <w:r>
        <w:t xml:space="preserve"> di </w:t>
      </w:r>
      <w:proofErr w:type="spellStart"/>
      <w:r>
        <w:t>Identità</w:t>
      </w:r>
      <w:proofErr w:type="spellEnd"/>
      <w:r>
        <w:t xml:space="preserve"> </w:t>
      </w:r>
      <w:proofErr w:type="spellStart"/>
      <w:r>
        <w:t>Digitale</w:t>
      </w:r>
      <w:proofErr w:type="spellEnd"/>
      <w:r>
        <w:t xml:space="preserve"> (SPID) or Public Digital Identity System. This system was established in October 2014 and made operational in 2016</w:t>
      </w:r>
      <w:r>
        <w:rPr>
          <w:vertAlign w:val="superscript"/>
        </w:rPr>
        <w:footnoteReference w:id="41"/>
      </w:r>
      <w:r>
        <w:t xml:space="preserve">, period during which also the electronic identity card (CIE) activates its digital identity system, using the same technology used by SPID. Both SPID and CIE are digital identity tools also recognized in Europe, in accordance with the eIDAS Regulation (Regulation (EU) No. 910/2014). Based on the Security Assertion Markup Language version 2 (SAML2), both SPID and CIE enable citizens to use a government-verified identity for both public and private services. The system continues to evolve as new protocols offer new functionality, and a second system based on OpenID Connect (OIDC) is being tested and is expected to move into full production in mid-2023. The new system is reviewed regularly to make sure it complies with all relevant EU regulations. </w:t>
      </w:r>
    </w:p>
    <w:p w14:paraId="3707B95E" w14:textId="77777777" w:rsidR="00BC5C1D" w:rsidRDefault="00BC5C1D" w:rsidP="00BC5C1D"/>
    <w:p w14:paraId="3E5F169A" w14:textId="77777777" w:rsidR="00BC5C1D" w:rsidRDefault="00BC5C1D" w:rsidP="00BC5C1D">
      <w:r>
        <w:t xml:space="preserve">From a privacy perspective, the organizations managing these services, the Agency for Digital Italy (AGID) for SPID and the Ministry of Interiors for CIE, reviews all services requesting to use the credentials in this system, with an administrative and technical activation procedure which evaluates administrative, technical, and security requirements. Services must comply with all privacy laws; they only receive proofs of requested data and never the credential itself, and that only with the explicit consent of the individual. </w:t>
      </w:r>
    </w:p>
    <w:p w14:paraId="60F2E869" w14:textId="77777777" w:rsidR="00BC5C1D" w:rsidRDefault="00BC5C1D" w:rsidP="00BC5C1D"/>
    <w:p w14:paraId="61CAF582" w14:textId="77777777" w:rsidR="00BC5C1D" w:rsidRDefault="00BC5C1D" w:rsidP="00BC5C1D">
      <w:r>
        <w:t>While a model system within the EU, just over half of the adult population has one of these digital credentials.</w:t>
      </w:r>
      <w:r>
        <w:rPr>
          <w:vertAlign w:val="superscript"/>
        </w:rPr>
        <w:footnoteReference w:id="42"/>
      </w:r>
      <w:r>
        <w:t xml:space="preserve"> </w:t>
      </w:r>
    </w:p>
    <w:p w14:paraId="223B7D57" w14:textId="2F2AAFD4" w:rsidR="00BC5C1D" w:rsidRDefault="00BC5C1D" w:rsidP="00BC5C1D">
      <w:pPr>
        <w:pStyle w:val="Heading3"/>
      </w:pPr>
      <w:bookmarkStart w:id="25" w:name="_Toc134081057"/>
      <w:r>
        <w:t xml:space="preserve">Nigeria’s </w:t>
      </w:r>
      <w:proofErr w:type="spellStart"/>
      <w:r>
        <w:t>eID</w:t>
      </w:r>
      <w:bookmarkEnd w:id="25"/>
      <w:proofErr w:type="spellEnd"/>
    </w:p>
    <w:p w14:paraId="517A09BB" w14:textId="7B6F3E53" w:rsidR="00F420D8" w:rsidRDefault="00DF59A1" w:rsidP="00F420D8">
      <w:r>
        <w:t xml:space="preserve">Nigeria’s government-issued credential program is the largest in Africa. Initially focused on smartcards, their mobile ID program is currently in a trial phase. Organized by the National Identity Management Commission (NIMC), the main object of the program is to “capture data into a central, secure &amp; harmonized identity </w:t>
      </w:r>
      <w:r w:rsidR="00594CD5">
        <w:t>database”.</w:t>
      </w:r>
      <w:r w:rsidR="00594CD5">
        <w:rPr>
          <w:rStyle w:val="FootnoteReference"/>
        </w:rPr>
        <w:footnoteReference w:id="43"/>
      </w:r>
      <w:r w:rsidR="00F420D8">
        <w:t xml:space="preserve"> As legal identification records are scarce in Nigeria, establishing </w:t>
      </w:r>
      <w:r w:rsidR="006F23F0">
        <w:t>an</w:t>
      </w:r>
      <w:r w:rsidR="00F420D8">
        <w:t xml:space="preserve"> </w:t>
      </w:r>
      <w:r w:rsidR="006F23F0">
        <w:t>authoritative source</w:t>
      </w:r>
      <w:r w:rsidR="00F420D8">
        <w:t xml:space="preserve"> is a necessary first step. That said, the Nigerian federal g</w:t>
      </w:r>
      <w:r w:rsidR="00F420D8" w:rsidRPr="00F420D8">
        <w:t xml:space="preserve">overnment intends to </w:t>
      </w:r>
      <w:r w:rsidR="00F420D8">
        <w:t>issue</w:t>
      </w:r>
      <w:r w:rsidR="00F420D8" w:rsidRPr="00F420D8">
        <w:t xml:space="preserve"> secure, virtual credentials which will</w:t>
      </w:r>
      <w:r w:rsidR="00F420D8">
        <w:t xml:space="preserve"> </w:t>
      </w:r>
      <w:r w:rsidR="00F420D8" w:rsidRPr="00F420D8">
        <w:t>be time bound and issued by the Identity holder for a specific</w:t>
      </w:r>
      <w:r w:rsidR="00F420D8">
        <w:t xml:space="preserve"> </w:t>
      </w:r>
      <w:r w:rsidR="00F420D8" w:rsidRPr="00F420D8">
        <w:t>merchant or verifier.</w:t>
      </w:r>
    </w:p>
    <w:p w14:paraId="531793EA" w14:textId="77777777" w:rsidR="00F420D8" w:rsidRDefault="00F420D8" w:rsidP="00F420D8"/>
    <w:p w14:paraId="45F2A04A" w14:textId="2F8AC052" w:rsidR="00871709" w:rsidRDefault="003B6F36" w:rsidP="00871709">
      <w:r>
        <w:lastRenderedPageBreak/>
        <w:t xml:space="preserve">In parallel, Nigeria is also making substantial progress on their </w:t>
      </w:r>
      <w:r w:rsidRPr="003B6F36">
        <w:t>Nigeria Data Protection Bill</w:t>
      </w:r>
      <w:r>
        <w:t>, approved by the Nigeria Federal Executive Council (FEC</w:t>
      </w:r>
      <w:proofErr w:type="gramStart"/>
      <w:r>
        <w:t>)</w:t>
      </w:r>
      <w:proofErr w:type="gramEnd"/>
      <w:r>
        <w:t xml:space="preserve"> and sent to their National Assembly in February 2023.</w:t>
      </w:r>
      <w:r>
        <w:rPr>
          <w:rStyle w:val="FootnoteReference"/>
        </w:rPr>
        <w:footnoteReference w:id="44"/>
      </w:r>
      <w:r w:rsidR="002D219F">
        <w:t xml:space="preserve"> </w:t>
      </w:r>
      <w:r w:rsidR="00B02142">
        <w:t>This Data Protection Bill is expected to provide a more robust data protection legal framework than the existing Nigeria Data Protection Regulation, which was passed in 2019.</w:t>
      </w:r>
      <w:r w:rsidR="00B02142">
        <w:rPr>
          <w:rStyle w:val="FootnoteReference"/>
        </w:rPr>
        <w:footnoteReference w:id="45"/>
      </w:r>
    </w:p>
    <w:p w14:paraId="1AC78795" w14:textId="77777777" w:rsidR="00871709" w:rsidRDefault="00871709" w:rsidP="00871709"/>
    <w:p w14:paraId="5823ED52" w14:textId="466484B4" w:rsidR="002D219F" w:rsidRDefault="00871709" w:rsidP="002D219F">
      <w:r w:rsidRPr="00871709">
        <w:t xml:space="preserve">Nigeria also implemented, in 2021, a </w:t>
      </w:r>
      <w:r w:rsidR="004F3EF4" w:rsidRPr="00871709">
        <w:t>full-fledged</w:t>
      </w:r>
      <w:r w:rsidRPr="00871709">
        <w:t xml:space="preserve"> User Consent Management System, inspired by the World Bank, to empower Nigerians for the issuance of a User Consent Token for any Relying Party to subsequently request for PII for the ID Holder. This initiative thus means that the ID Holder is no longer required to share their real National Identification Number (NIN), but instead provide a “Use Once” consent for the RP to request for PII limited by the Access Rights granted to the RP by the NIMC.</w:t>
      </w:r>
      <w:r w:rsidRPr="00871709">
        <w:rPr>
          <w:vertAlign w:val="superscript"/>
        </w:rPr>
        <w:footnoteReference w:id="46"/>
      </w:r>
    </w:p>
    <w:p w14:paraId="0D68404C" w14:textId="77777777" w:rsidR="00BC5C1D" w:rsidRDefault="00BC5C1D" w:rsidP="00BC5C1D"/>
    <w:p w14:paraId="4D4CD2A2" w14:textId="0D742CC1" w:rsidR="002D219F" w:rsidRDefault="002D219F" w:rsidP="00BC5C1D">
      <w:r>
        <w:t xml:space="preserve">Funding for the </w:t>
      </w:r>
      <w:proofErr w:type="spellStart"/>
      <w:r>
        <w:t>eID</w:t>
      </w:r>
      <w:proofErr w:type="spellEnd"/>
      <w:r>
        <w:t xml:space="preserve"> program is coming from a variety of sources, many external to Nigeria. The</w:t>
      </w:r>
      <w:r w:rsidRPr="002D219F">
        <w:t xml:space="preserve"> European Investment Bank </w:t>
      </w:r>
      <w:r>
        <w:t>(</w:t>
      </w:r>
      <w:r w:rsidRPr="002D219F">
        <w:t>the lending arm of the EU</w:t>
      </w:r>
      <w:r>
        <w:t>) as well as the World Bank have provided support</w:t>
      </w:r>
      <w:r w:rsidRPr="002D219F">
        <w:t xml:space="preserve"> for the development of </w:t>
      </w:r>
      <w:r>
        <w:t xml:space="preserve">their </w:t>
      </w:r>
      <w:r w:rsidRPr="002D219F">
        <w:t>digital identity (</w:t>
      </w:r>
      <w:proofErr w:type="spellStart"/>
      <w:r w:rsidRPr="002D219F">
        <w:t>eID</w:t>
      </w:r>
      <w:proofErr w:type="spellEnd"/>
      <w:r w:rsidRPr="002D219F">
        <w:t>) infrastructure and the supply of a biometric identity to all Nigerian citizens.</w:t>
      </w:r>
      <w:r>
        <w:rPr>
          <w:rStyle w:val="FootnoteReference"/>
        </w:rPr>
        <w:footnoteReference w:id="47"/>
      </w:r>
      <w:r w:rsidRPr="002D219F">
        <w:t xml:space="preserve"> </w:t>
      </w:r>
    </w:p>
    <w:p w14:paraId="2B6E5766" w14:textId="77777777" w:rsidR="000A6003" w:rsidRDefault="009D0F65">
      <w:pPr>
        <w:pStyle w:val="Heading3"/>
      </w:pPr>
      <w:bookmarkStart w:id="26" w:name="_Toc134081058"/>
      <w:r>
        <w:t>Singapore’s Singpass</w:t>
      </w:r>
      <w:bookmarkEnd w:id="26"/>
    </w:p>
    <w:p w14:paraId="431BB414" w14:textId="77777777" w:rsidR="000A6003" w:rsidRDefault="009D0F65">
      <w:r>
        <w:t>Singapore’s digital identity system is called Singpass.</w:t>
      </w:r>
      <w:r>
        <w:rPr>
          <w:vertAlign w:val="superscript"/>
        </w:rPr>
        <w:footnoteReference w:id="48"/>
      </w:r>
      <w:r>
        <w:t xml:space="preserve"> This system includes 700 organizations offering over 2000 services to 4.5 million registered users.</w:t>
      </w:r>
      <w:r>
        <w:rPr>
          <w:vertAlign w:val="superscript"/>
        </w:rPr>
        <w:footnoteReference w:id="49"/>
      </w:r>
      <w:r>
        <w:t xml:space="preserve"> The system is heavily reliant on the Singpass mobile application, with 85% of transactions going through that interface. Services offered by Singpass include:</w:t>
      </w:r>
    </w:p>
    <w:p w14:paraId="6B247625" w14:textId="77777777" w:rsidR="00F10596" w:rsidRDefault="00F10596"/>
    <w:p w14:paraId="18D83CCF" w14:textId="7900CDBF" w:rsidR="000A6003" w:rsidRDefault="009D0F65">
      <w:pPr>
        <w:numPr>
          <w:ilvl w:val="0"/>
          <w:numId w:val="5"/>
        </w:numPr>
      </w:pPr>
      <w:r>
        <w:t>‘</w:t>
      </w:r>
      <w:proofErr w:type="spellStart"/>
      <w:r>
        <w:t>Myinfo</w:t>
      </w:r>
      <w:proofErr w:type="spellEnd"/>
      <w:r>
        <w:t>,’ which supports pre-fill for digital forms for online transactions</w:t>
      </w:r>
      <w:r w:rsidR="00F10596">
        <w:t xml:space="preserve"> and serves as the </w:t>
      </w:r>
      <w:r w:rsidR="006F23F0">
        <w:t>authoritative source</w:t>
      </w:r>
      <w:r w:rsidR="00F10596">
        <w:t xml:space="preserve"> for all other Singpass services</w:t>
      </w:r>
      <w:r>
        <w:t>.</w:t>
      </w:r>
    </w:p>
    <w:p w14:paraId="3AA18700" w14:textId="77777777" w:rsidR="000A6003" w:rsidRDefault="009D0F65">
      <w:pPr>
        <w:numPr>
          <w:ilvl w:val="0"/>
          <w:numId w:val="5"/>
        </w:numPr>
      </w:pPr>
      <w:r>
        <w:t>‘Verify’ for biometric-based identity verification that enables residents to perform secure in-person identity verification and data sharing through scanning QR codes.</w:t>
      </w:r>
    </w:p>
    <w:p w14:paraId="61C4CE82" w14:textId="77777777" w:rsidR="000A6003" w:rsidRDefault="009D0F65">
      <w:pPr>
        <w:numPr>
          <w:ilvl w:val="0"/>
          <w:numId w:val="5"/>
        </w:numPr>
      </w:pPr>
      <w:r>
        <w:lastRenderedPageBreak/>
        <w:t>‘Face Verification’ is a basic authentication service that compares facial biometrics to government-held data, and ‘Sign’ to digitally sign documents.</w:t>
      </w:r>
    </w:p>
    <w:p w14:paraId="56334451" w14:textId="77777777" w:rsidR="000A6003" w:rsidRDefault="000A6003"/>
    <w:p w14:paraId="07D0B145" w14:textId="77777777" w:rsidR="000A6003" w:rsidRDefault="009D0F65">
      <w:r>
        <w:t>In the findings from a case study conducted by the World Bank and Singapore’s Government Technology Agency, 97% of the eligible population use Singpass to access online services.</w:t>
      </w:r>
      <w:r>
        <w:rPr>
          <w:vertAlign w:val="superscript"/>
        </w:rPr>
        <w:footnoteReference w:id="50"/>
      </w:r>
      <w:r>
        <w:t xml:space="preserve"> Organizations that use the </w:t>
      </w:r>
      <w:proofErr w:type="spellStart"/>
      <w:r>
        <w:t>Myinfo</w:t>
      </w:r>
      <w:proofErr w:type="spellEnd"/>
      <w:r>
        <w:t xml:space="preserve"> service within Singpass report “an average decrease of up to 80 percent in application time for users, with businesses reporting up to a 15 percent higher approval rate, due to better data quality and significant cost savings in their customer acquisition process.”</w:t>
      </w:r>
      <w:r>
        <w:rPr>
          <w:vertAlign w:val="superscript"/>
        </w:rPr>
        <w:footnoteReference w:id="51"/>
      </w:r>
      <w:r>
        <w:t xml:space="preserve"> Services have confidence that the users are who they say they are, and the users enjoy the convenience of timely access to services.</w:t>
      </w:r>
    </w:p>
    <w:p w14:paraId="78D07430" w14:textId="77777777" w:rsidR="00313184" w:rsidRDefault="00313184"/>
    <w:p w14:paraId="7C0FE900" w14:textId="1BD66DB7" w:rsidR="00313184" w:rsidRDefault="00313184">
      <w:r>
        <w:t>Singpass offers a level of transparency into their system by making the code openly available and using openly developed OpenID Connect protocols.</w:t>
      </w:r>
      <w:r w:rsidR="00E67C36">
        <w:rPr>
          <w:rStyle w:val="FootnoteReference"/>
        </w:rPr>
        <w:footnoteReference w:id="52"/>
      </w:r>
      <w:r>
        <w:t xml:space="preserve"> </w:t>
      </w:r>
    </w:p>
    <w:p w14:paraId="6C2D4F5F" w14:textId="77777777" w:rsidR="000A6003" w:rsidRDefault="000A6003"/>
    <w:p w14:paraId="14B05703" w14:textId="2EE20EED" w:rsidR="00313184" w:rsidRDefault="009D0F65">
      <w:r>
        <w:t>Very few reports exist regarding breaches of the Singpass ecosystem. While the government is considering developing a decentralized service</w:t>
      </w:r>
      <w:r w:rsidR="009F44FE">
        <w:t xml:space="preserve"> in the form of a Decentralized Identifier (DID) Verifiable Credential-based identity wallet</w:t>
      </w:r>
      <w:r>
        <w:t>, much of the system is still in centralized databases.</w:t>
      </w:r>
      <w:r>
        <w:rPr>
          <w:vertAlign w:val="superscript"/>
        </w:rPr>
        <w:footnoteReference w:id="53"/>
      </w:r>
      <w:r>
        <w:t xml:space="preserve"> Still, privacy advocates remain concerned regarding the potential for misuse of critical personal data such as biometrics. The concern that government agencies can access biometric data for uses outside the original scope is well founded as such behavior is allowed by Singapore’s Public Sector (Governance) Act (covered in more detail later in this paper). </w:t>
      </w:r>
    </w:p>
    <w:p w14:paraId="5300D83D" w14:textId="77777777" w:rsidR="00313184" w:rsidRDefault="00313184"/>
    <w:p w14:paraId="52C9D201" w14:textId="2BAAD02B" w:rsidR="000A6003" w:rsidRDefault="009D0F65">
      <w:r>
        <w:t>The concerns about surveillance and unconsented use of personal data between government agencies is a common theme for all government-issued digital credentials. As decentralized models emerge, it will be interesting to observe if countries like Singapore will migrate to them</w:t>
      </w:r>
      <w:r w:rsidR="00F10596">
        <w:t xml:space="preserve"> in an attempt</w:t>
      </w:r>
      <w:r>
        <w:t xml:space="preserve"> to address privacy concerns, lower the transaction load on government systems, and enable more cross border usage by Singaporean </w:t>
      </w:r>
      <w:r w:rsidR="00F10596">
        <w:t>citizens, residents,</w:t>
      </w:r>
      <w:r>
        <w:t xml:space="preserve"> and businesses. </w:t>
      </w:r>
    </w:p>
    <w:p w14:paraId="374105A2" w14:textId="77777777" w:rsidR="000A6003" w:rsidRDefault="009D0F65">
      <w:pPr>
        <w:pStyle w:val="Heading3"/>
      </w:pPr>
      <w:bookmarkStart w:id="27" w:name="_Toc133680947"/>
      <w:bookmarkStart w:id="28" w:name="_Toc133681047"/>
      <w:bookmarkStart w:id="29" w:name="_Toc133988922"/>
      <w:bookmarkStart w:id="30" w:name="_Toc133989007"/>
      <w:bookmarkStart w:id="31" w:name="_Toc133989092"/>
      <w:bookmarkStart w:id="32" w:name="_Toc133989176"/>
      <w:bookmarkStart w:id="33" w:name="_Toc133989261"/>
      <w:bookmarkStart w:id="34" w:name="_Toc133680948"/>
      <w:bookmarkStart w:id="35" w:name="_Toc133681048"/>
      <w:bookmarkStart w:id="36" w:name="_Toc133988923"/>
      <w:bookmarkStart w:id="37" w:name="_Toc133989008"/>
      <w:bookmarkStart w:id="38" w:name="_Toc133989093"/>
      <w:bookmarkStart w:id="39" w:name="_Toc133989177"/>
      <w:bookmarkStart w:id="40" w:name="_Toc133989262"/>
      <w:bookmarkStart w:id="41" w:name="_Toc133680949"/>
      <w:bookmarkStart w:id="42" w:name="_Toc133681049"/>
      <w:bookmarkStart w:id="43" w:name="_Toc133988924"/>
      <w:bookmarkStart w:id="44" w:name="_Toc133989009"/>
      <w:bookmarkStart w:id="45" w:name="_Toc133989094"/>
      <w:bookmarkStart w:id="46" w:name="_Toc133989178"/>
      <w:bookmarkStart w:id="47" w:name="_Toc133989263"/>
      <w:bookmarkStart w:id="48" w:name="_Toc133680950"/>
      <w:bookmarkStart w:id="49" w:name="_Toc133681050"/>
      <w:bookmarkStart w:id="50" w:name="_Toc133988925"/>
      <w:bookmarkStart w:id="51" w:name="_Toc133989010"/>
      <w:bookmarkStart w:id="52" w:name="_Toc133989095"/>
      <w:bookmarkStart w:id="53" w:name="_Toc133989179"/>
      <w:bookmarkStart w:id="54" w:name="_Toc133989264"/>
      <w:bookmarkStart w:id="55" w:name="_Toc133680951"/>
      <w:bookmarkStart w:id="56" w:name="_Toc133681051"/>
      <w:bookmarkStart w:id="57" w:name="_Toc133988926"/>
      <w:bookmarkStart w:id="58" w:name="_Toc133989011"/>
      <w:bookmarkStart w:id="59" w:name="_Toc133989096"/>
      <w:bookmarkStart w:id="60" w:name="_Toc133989180"/>
      <w:bookmarkStart w:id="61" w:name="_Toc133989265"/>
      <w:bookmarkStart w:id="62" w:name="_Toc133680952"/>
      <w:bookmarkStart w:id="63" w:name="_Toc133681052"/>
      <w:bookmarkStart w:id="64" w:name="_Toc133988927"/>
      <w:bookmarkStart w:id="65" w:name="_Toc133989012"/>
      <w:bookmarkStart w:id="66" w:name="_Toc133989097"/>
      <w:bookmarkStart w:id="67" w:name="_Toc133989181"/>
      <w:bookmarkStart w:id="68" w:name="_Toc133989266"/>
      <w:bookmarkStart w:id="69" w:name="_Toc133680953"/>
      <w:bookmarkStart w:id="70" w:name="_Toc133681053"/>
      <w:bookmarkStart w:id="71" w:name="_Toc133988928"/>
      <w:bookmarkStart w:id="72" w:name="_Toc133989013"/>
      <w:bookmarkStart w:id="73" w:name="_Toc133989098"/>
      <w:bookmarkStart w:id="74" w:name="_Toc133989182"/>
      <w:bookmarkStart w:id="75" w:name="_Toc133989267"/>
      <w:bookmarkStart w:id="76" w:name="_Toc133680954"/>
      <w:bookmarkStart w:id="77" w:name="_Toc133681054"/>
      <w:bookmarkStart w:id="78" w:name="_Toc133988929"/>
      <w:bookmarkStart w:id="79" w:name="_Toc133989014"/>
      <w:bookmarkStart w:id="80" w:name="_Toc133989099"/>
      <w:bookmarkStart w:id="81" w:name="_Toc133989183"/>
      <w:bookmarkStart w:id="82" w:name="_Toc133989268"/>
      <w:bookmarkStart w:id="83" w:name="_Toc133680955"/>
      <w:bookmarkStart w:id="84" w:name="_Toc133681055"/>
      <w:bookmarkStart w:id="85" w:name="_Toc133988930"/>
      <w:bookmarkStart w:id="86" w:name="_Toc133989015"/>
      <w:bookmarkStart w:id="87" w:name="_Toc133989100"/>
      <w:bookmarkStart w:id="88" w:name="_Toc133989184"/>
      <w:bookmarkStart w:id="89" w:name="_Toc133989269"/>
      <w:bookmarkStart w:id="90" w:name="_Toc133680956"/>
      <w:bookmarkStart w:id="91" w:name="_Toc133681056"/>
      <w:bookmarkStart w:id="92" w:name="_Toc133988931"/>
      <w:bookmarkStart w:id="93" w:name="_Toc133989016"/>
      <w:bookmarkStart w:id="94" w:name="_Toc133989101"/>
      <w:bookmarkStart w:id="95" w:name="_Toc133989185"/>
      <w:bookmarkStart w:id="96" w:name="_Toc133989270"/>
      <w:bookmarkStart w:id="97" w:name="_Toc133680957"/>
      <w:bookmarkStart w:id="98" w:name="_Toc133681057"/>
      <w:bookmarkStart w:id="99" w:name="_Toc133988932"/>
      <w:bookmarkStart w:id="100" w:name="_Toc133989017"/>
      <w:bookmarkStart w:id="101" w:name="_Toc133989102"/>
      <w:bookmarkStart w:id="102" w:name="_Toc133989186"/>
      <w:bookmarkStart w:id="103" w:name="_Toc133989271"/>
      <w:bookmarkStart w:id="104" w:name="_Toc133680958"/>
      <w:bookmarkStart w:id="105" w:name="_Toc133681058"/>
      <w:bookmarkStart w:id="106" w:name="_Toc133988933"/>
      <w:bookmarkStart w:id="107" w:name="_Toc133989018"/>
      <w:bookmarkStart w:id="108" w:name="_Toc133989103"/>
      <w:bookmarkStart w:id="109" w:name="_Toc133989187"/>
      <w:bookmarkStart w:id="110" w:name="_Toc133989272"/>
      <w:bookmarkStart w:id="111" w:name="_Toc133680959"/>
      <w:bookmarkStart w:id="112" w:name="_Toc133681059"/>
      <w:bookmarkStart w:id="113" w:name="_Toc133988934"/>
      <w:bookmarkStart w:id="114" w:name="_Toc133989019"/>
      <w:bookmarkStart w:id="115" w:name="_Toc133989104"/>
      <w:bookmarkStart w:id="116" w:name="_Toc133989188"/>
      <w:bookmarkStart w:id="117" w:name="_Toc133989273"/>
      <w:bookmarkStart w:id="118" w:name="_Toc133680960"/>
      <w:bookmarkStart w:id="119" w:name="_Toc133681060"/>
      <w:bookmarkStart w:id="120" w:name="_Toc133988935"/>
      <w:bookmarkStart w:id="121" w:name="_Toc133989020"/>
      <w:bookmarkStart w:id="122" w:name="_Toc133989105"/>
      <w:bookmarkStart w:id="123" w:name="_Toc133989189"/>
      <w:bookmarkStart w:id="124" w:name="_Toc133989274"/>
      <w:bookmarkStart w:id="125" w:name="_Toc133680961"/>
      <w:bookmarkStart w:id="126" w:name="_Toc133681061"/>
      <w:bookmarkStart w:id="127" w:name="_Toc133988936"/>
      <w:bookmarkStart w:id="128" w:name="_Toc133989021"/>
      <w:bookmarkStart w:id="129" w:name="_Toc133989106"/>
      <w:bookmarkStart w:id="130" w:name="_Toc133989190"/>
      <w:bookmarkStart w:id="131" w:name="_Toc133989275"/>
      <w:bookmarkStart w:id="132" w:name="_Toc133680962"/>
      <w:bookmarkStart w:id="133" w:name="_Toc133681062"/>
      <w:bookmarkStart w:id="134" w:name="_Toc133988937"/>
      <w:bookmarkStart w:id="135" w:name="_Toc133989022"/>
      <w:bookmarkStart w:id="136" w:name="_Toc133989107"/>
      <w:bookmarkStart w:id="137" w:name="_Toc133989191"/>
      <w:bookmarkStart w:id="138" w:name="_Toc133989276"/>
      <w:bookmarkStart w:id="139" w:name="_upi6l8elrn0h" w:colFirst="0" w:colLast="0"/>
      <w:bookmarkStart w:id="140" w:name="_Toc13408105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lastRenderedPageBreak/>
        <w:t>U.S. State Implementations</w:t>
      </w:r>
      <w:bookmarkEnd w:id="140"/>
    </w:p>
    <w:p w14:paraId="159E31B7" w14:textId="149D3175" w:rsidR="00A92412" w:rsidRDefault="009D0F65">
      <w:r>
        <w:t xml:space="preserve">The U.S. federal government does not issue </w:t>
      </w:r>
      <w:r w:rsidR="009466A3">
        <w:t xml:space="preserve">general purpose </w:t>
      </w:r>
      <w:r>
        <w:t xml:space="preserve">digital credentials at this time, nor are there federal-level </w:t>
      </w:r>
      <w:r w:rsidR="000C7F52">
        <w:t xml:space="preserve">general </w:t>
      </w:r>
      <w:r>
        <w:t>privacy laws.</w:t>
      </w:r>
      <w:r w:rsidR="000B220E">
        <w:rPr>
          <w:rStyle w:val="FootnoteReference"/>
        </w:rPr>
        <w:footnoteReference w:id="54"/>
      </w:r>
      <w:r>
        <w:t xml:space="preserve"> </w:t>
      </w:r>
      <w:r w:rsidR="004A6923">
        <w:t xml:space="preserve">The U.S. federal government does issue electronic passports for cross-border travel and, as stated previously, this digital credential contains cryptographically verifiable identity information but does not support selective disclosure and includes a photo (biometric) susceptible to manipulation (e.g., photo morphing) and is often not of sufficient quality for automated facial recognition. </w:t>
      </w:r>
      <w:r>
        <w:t xml:space="preserve">That said, states within the country have started issuing government-issued digital credentials in the form of mobile driver’s licenses (mDLs). </w:t>
      </w:r>
      <w:r w:rsidR="00A92412">
        <w:t xml:space="preserve">Given the lack of a national identity card </w:t>
      </w:r>
      <w:r w:rsidR="00AB65AB">
        <w:t xml:space="preserve">(i.e., national IDs) </w:t>
      </w:r>
      <w:r w:rsidR="00A92412">
        <w:t xml:space="preserve">in the U.S., driver’s licenses are used in many of the same ways </w:t>
      </w:r>
      <w:r w:rsidR="00AB65AB">
        <w:t>national IDs</w:t>
      </w:r>
      <w:r w:rsidR="00A92412">
        <w:t xml:space="preserve"> are used in other countries. </w:t>
      </w:r>
      <w:r w:rsidR="004A6923">
        <w:t>Similar to electronic passport standards, mobile driving license standards are developed by the International Organization for Standardization; specifically, the ISO/IEC 18013-X series with details below.</w:t>
      </w:r>
    </w:p>
    <w:p w14:paraId="40E5777C" w14:textId="77777777" w:rsidR="00A92412" w:rsidRDefault="00A92412"/>
    <w:p w14:paraId="5481E879" w14:textId="2A801F15" w:rsidR="000A6003" w:rsidRDefault="009D0F65">
      <w:r>
        <w:t>The diversity of state-level mDL implementations–</w:t>
      </w:r>
      <w:r w:rsidR="000C7F52">
        <w:t xml:space="preserve">ranging </w:t>
      </w:r>
      <w:r>
        <w:t>from ‘no implementation’ to ‘in production today’–makes examining the U.S. environment particularly complicated. For this paper, we look to three examples that reflect some of the diversity of the landscape: Maryland, which piloted its efforts on Apple wallets and later expanded to include Google; Arizona, which was the first state to see their mDLs accepted by the U.S. Transportation Security Administration (T</w:t>
      </w:r>
      <w:r w:rsidR="007E21A8">
        <w:t>S</w:t>
      </w:r>
      <w:r>
        <w:t>A); and Utah, which went live with a standards-compliant app built for their state.</w:t>
      </w:r>
      <w:r w:rsidR="00B41542">
        <w:t xml:space="preserve"> In all states reviewed for the paper, the use case for mDLs is for it to be used wherever a physical license may be used. If any organization is supporting the use of these credentials in any online transactions, they have not publicized that information.</w:t>
      </w:r>
    </w:p>
    <w:p w14:paraId="16C054E2" w14:textId="77777777" w:rsidR="000A6003" w:rsidRDefault="000A6003"/>
    <w:p w14:paraId="6B851D4B" w14:textId="0070F2A8" w:rsidR="000A6003" w:rsidRDefault="009D0F65">
      <w:r>
        <w:t>Guiding</w:t>
      </w:r>
      <w:r w:rsidR="007E21A8">
        <w:t xml:space="preserve"> government-issued digital credential</w:t>
      </w:r>
      <w:r>
        <w:t xml:space="preserve"> implementations in the U.S. and Canada is an organization called the American Association of Motor Vehicle Administrators (AAMVA).</w:t>
      </w:r>
      <w:r>
        <w:rPr>
          <w:vertAlign w:val="superscript"/>
        </w:rPr>
        <w:footnoteReference w:id="55"/>
      </w:r>
      <w:r>
        <w:t xml:space="preserve"> Through the work of their AAMVA's Joint mDL Subcommittee (consisting of their Card Design Standard Subcommittee and Electronic Identity Subcommittee), AAMVA has created implementation guidelines that are critical for the interoperability of mDLs in the region.</w:t>
      </w:r>
      <w:r>
        <w:rPr>
          <w:vertAlign w:val="superscript"/>
        </w:rPr>
        <w:footnoteReference w:id="56"/>
      </w:r>
    </w:p>
    <w:p w14:paraId="059F988A" w14:textId="77777777" w:rsidR="000C7F52" w:rsidRDefault="000C7F52"/>
    <w:p w14:paraId="006E9539" w14:textId="31A1D8A9" w:rsidR="004A6923" w:rsidRDefault="004A6923" w:rsidP="004A6923">
      <w:r>
        <w:t>Because mDLs may be used as proxies for legal (foundational) identity to derive other identities, it is imperative that motor vehicle administrators perform the requisite identity resolution (establishment of uniqueness) and provide the requisite, cryptographically verifiable, identity information including biometric(s) of sufficient quality for automated recognition. The ability to take a selfie and compare it with a government</w:t>
      </w:r>
      <w:r w:rsidR="00316C60">
        <w:t>-</w:t>
      </w:r>
      <w:r>
        <w:t xml:space="preserve">issued document </w:t>
      </w:r>
      <w:r>
        <w:lastRenderedPageBreak/>
        <w:t xml:space="preserve">(physical or digital) is dependent on the accuracy and authenticity of the reference data – the </w:t>
      </w:r>
      <w:r w:rsidR="006F23F0">
        <w:t>a</w:t>
      </w:r>
      <w:r>
        <w:t xml:space="preserve">uthoritative </w:t>
      </w:r>
      <w:r w:rsidR="006F23F0">
        <w:t>s</w:t>
      </w:r>
      <w:r>
        <w:t>ource.</w:t>
      </w:r>
    </w:p>
    <w:p w14:paraId="775FF3CA" w14:textId="77777777" w:rsidR="004A6923" w:rsidRDefault="004A6923"/>
    <w:p w14:paraId="6CC1B31D" w14:textId="31790EBB" w:rsidR="000A6003" w:rsidRDefault="000C7F52">
      <w:r>
        <w:t>Unfortunately, but perhaps not unsurprisingly, criminals are already finding ways to commit fraud with these new credentials.</w:t>
      </w:r>
      <w:r>
        <w:rPr>
          <w:rStyle w:val="FootnoteReference"/>
        </w:rPr>
        <w:footnoteReference w:id="57"/>
      </w:r>
    </w:p>
    <w:p w14:paraId="5E015CE4" w14:textId="77777777" w:rsidR="000A6003" w:rsidRDefault="009D0F65">
      <w:pPr>
        <w:pStyle w:val="Heading4"/>
      </w:pPr>
      <w:bookmarkStart w:id="141" w:name="_ju931ta0wezr" w:colFirst="0" w:colLast="0"/>
      <w:bookmarkEnd w:id="141"/>
      <w:r>
        <w:t>Maryland</w:t>
      </w:r>
    </w:p>
    <w:p w14:paraId="75556C52" w14:textId="77777777" w:rsidR="000A6003" w:rsidRDefault="009D0F65">
      <w:r>
        <w:t>Maryland rolled out mDLs to smartphone users in 2022.</w:t>
      </w:r>
      <w:r>
        <w:rPr>
          <w:vertAlign w:val="superscript"/>
        </w:rPr>
        <w:footnoteReference w:id="58"/>
      </w:r>
      <w:r>
        <w:t xml:space="preserve"> The credentials are created by taking a photo of the front and back of their physical driver’s license and a short video of themselves, which is then sent to issuing authorities for verification. When the information is verified, the individual may add it to their Google or Apple wallets and, where accepted, use it in place of the physical credential. This is a common pattern with other states as well.</w:t>
      </w:r>
    </w:p>
    <w:p w14:paraId="6929694B" w14:textId="77777777" w:rsidR="000A6003" w:rsidRDefault="000A6003"/>
    <w:p w14:paraId="74B94479" w14:textId="77777777" w:rsidR="000A6003" w:rsidRDefault="009D0F65">
      <w:r>
        <w:t>Maryland is also one of the states that has a law focused on privacy: the Personal Information Protection Act (PIPA).</w:t>
      </w:r>
      <w:r>
        <w:rPr>
          <w:vertAlign w:val="superscript"/>
        </w:rPr>
        <w:footnoteReference w:id="59"/>
      </w:r>
      <w:r>
        <w:t xml:space="preserve"> This law, however, is focused on consumer use cases and does not explicitly support the use of mDLs. Instead, the Maryland Department of Transportation’s Motor Vehicle Authority (MDOT MVA) includes a Terms and Conditions agreement for mDL holders. This describes how and when information will be shared between the Digital Wallet provider and the MDOT MVA. However, it also includes the disclaimer that the “MDOT MVA does not control the privacy and security of your information that may be held by the Digital Wallet provider and that is governed by the privacy policy given to you by the Digital Wallet provider.“</w:t>
      </w:r>
      <w:r>
        <w:rPr>
          <w:vertAlign w:val="superscript"/>
        </w:rPr>
        <w:footnoteReference w:id="60"/>
      </w:r>
    </w:p>
    <w:p w14:paraId="0284DB2F" w14:textId="77777777" w:rsidR="000A6003" w:rsidRDefault="009D0F65">
      <w:pPr>
        <w:pStyle w:val="Heading4"/>
      </w:pPr>
      <w:bookmarkStart w:id="142" w:name="_va75aas95jlx" w:colFirst="0" w:colLast="0"/>
      <w:bookmarkEnd w:id="142"/>
      <w:r>
        <w:t>Arizona</w:t>
      </w:r>
    </w:p>
    <w:p w14:paraId="3DD94C0D" w14:textId="77777777" w:rsidR="000A6003" w:rsidRDefault="009D0F65">
      <w:r>
        <w:t>Arizona went live in early 2022 with the first Apple wallet mDL implementation. Holders of these mDLs were able to use these new credentials anywhere a physical driver’s license would be used. In addition, these credentials could be used at designated TSA airport security checkpoints in Phoenix Sky Harbor International Airport, an important tie to federal systems.</w:t>
      </w:r>
      <w:r>
        <w:rPr>
          <w:vertAlign w:val="superscript"/>
        </w:rPr>
        <w:footnoteReference w:id="61"/>
      </w:r>
      <w:r>
        <w:t xml:space="preserve"> </w:t>
      </w:r>
    </w:p>
    <w:p w14:paraId="54476E7C" w14:textId="77777777" w:rsidR="000A6003" w:rsidRDefault="000A6003"/>
    <w:p w14:paraId="53665AC5" w14:textId="77777777" w:rsidR="000A6003" w:rsidRDefault="009D0F65">
      <w:r>
        <w:lastRenderedPageBreak/>
        <w:t>Arizona is not one of the U.S. states with a digital privacy law. Instead, they rely on a generic privacy policy statement on their website.</w:t>
      </w:r>
      <w:r>
        <w:rPr>
          <w:vertAlign w:val="superscript"/>
        </w:rPr>
        <w:footnoteReference w:id="62"/>
      </w:r>
      <w:r>
        <w:t xml:space="preserve"> For the mDL release, the privacy considerations were largely in the hands of Apple, which maintains control of the marketing, rollout, and device support for the program. This has raised concerns with privacy advocates, but those concerns have not been reflected in any new legislation at this time.</w:t>
      </w:r>
      <w:r>
        <w:rPr>
          <w:vertAlign w:val="superscript"/>
        </w:rPr>
        <w:footnoteReference w:id="63"/>
      </w:r>
    </w:p>
    <w:p w14:paraId="18B51B99" w14:textId="77777777" w:rsidR="000A6003" w:rsidRDefault="009D0F65">
      <w:pPr>
        <w:pStyle w:val="Heading4"/>
      </w:pPr>
      <w:bookmarkStart w:id="143" w:name="_ut6g3mpcp6fk" w:colFirst="0" w:colLast="0"/>
      <w:bookmarkEnd w:id="143"/>
      <w:r>
        <w:t>Utah</w:t>
      </w:r>
    </w:p>
    <w:p w14:paraId="76F082DD" w14:textId="77777777" w:rsidR="000A6003" w:rsidRDefault="009D0F65">
      <w:r>
        <w:t xml:space="preserve">Utah was arguably the first state in the U.S. to issue mDLs. Rather than partner with Google or Apple, they choose to engage with a third party for their implementation, GET Group North America and the mobile digital ID vendor </w:t>
      </w:r>
      <w:proofErr w:type="spellStart"/>
      <w:r>
        <w:t>Scytáles</w:t>
      </w:r>
      <w:proofErr w:type="spellEnd"/>
      <w:r>
        <w:t>.</w:t>
      </w:r>
      <w:r>
        <w:rPr>
          <w:vertAlign w:val="superscript"/>
        </w:rPr>
        <w:footnoteReference w:id="64"/>
      </w:r>
      <w:r>
        <w:t xml:space="preserve"> The path to implementation was not, however, entirely smooth. Discussions in 2021 of an amendment (S.B. 88) to the original bill legislating mobile driver’s licenses in the state served as a lightning rod to individuals fearful of the technology and its implications in their lives.</w:t>
      </w:r>
      <w:r>
        <w:rPr>
          <w:vertAlign w:val="superscript"/>
        </w:rPr>
        <w:footnoteReference w:id="65"/>
      </w:r>
      <w:r>
        <w:t xml:space="preserve"> The result of that debate–dropping the proposed amendment–actually negated several additional privacy protections being proposed, including text such as:</w:t>
      </w:r>
    </w:p>
    <w:p w14:paraId="03D940AA" w14:textId="77777777" w:rsidR="000A6003" w:rsidRDefault="000A6003"/>
    <w:p w14:paraId="40926E48" w14:textId="77777777" w:rsidR="000A6003" w:rsidRDefault="009D0F65" w:rsidP="00C5772E">
      <w:pPr>
        <w:pStyle w:val="Quote"/>
        <w:jc w:val="left"/>
      </w:pPr>
      <w:r>
        <w:t xml:space="preserve">(4) The division shall ensure that the system and technology used for an electronic license certificate or identification card </w:t>
      </w:r>
    </w:p>
    <w:p w14:paraId="4C9DA6A8" w14:textId="77777777" w:rsidR="000A6003" w:rsidRDefault="009D0F65" w:rsidP="00C5772E">
      <w:pPr>
        <w:pStyle w:val="Quote"/>
        <w:ind w:left="1440"/>
        <w:jc w:val="left"/>
      </w:pPr>
      <w:r>
        <w:t>(</w:t>
      </w:r>
      <w:proofErr w:type="spellStart"/>
      <w:r>
        <w:t>i</w:t>
      </w:r>
      <w:proofErr w:type="spellEnd"/>
      <w:r>
        <w:t>) maintains the data security and privacy of the individual in the same manner as an individual with a license certificate or an identification card</w:t>
      </w:r>
    </w:p>
    <w:p w14:paraId="570F6774" w14:textId="77777777" w:rsidR="000A6003" w:rsidRDefault="009D0F65" w:rsidP="00C5772E">
      <w:pPr>
        <w:pStyle w:val="Quote"/>
        <w:ind w:left="1440"/>
        <w:jc w:val="left"/>
      </w:pPr>
      <w:r>
        <w:t xml:space="preserve">(ii) is not capable of digital tracking, </w:t>
      </w:r>
      <w:proofErr w:type="spellStart"/>
      <w:r>
        <w:t>geotracking</w:t>
      </w:r>
      <w:proofErr w:type="spellEnd"/>
      <w:r>
        <w:t>, or other data collection from the device or the end user</w:t>
      </w:r>
      <w:r>
        <w:rPr>
          <w:vertAlign w:val="superscript"/>
        </w:rPr>
        <w:footnoteReference w:id="66"/>
      </w:r>
    </w:p>
    <w:p w14:paraId="0500A09D" w14:textId="77777777" w:rsidR="000A6003" w:rsidRDefault="000A6003"/>
    <w:p w14:paraId="3E2EF545" w14:textId="204B9662" w:rsidR="00160550" w:rsidRDefault="009D0F65">
      <w:r>
        <w:t xml:space="preserve">Whether new legislation will be introduced is uncertain. The situation for Utah, as well as for the rest of the U.S., is moving rapidly. </w:t>
      </w:r>
    </w:p>
    <w:p w14:paraId="0ED4EE1F" w14:textId="77777777" w:rsidR="00160550" w:rsidRDefault="00160550">
      <w:r>
        <w:br w:type="page"/>
      </w:r>
    </w:p>
    <w:p w14:paraId="0074EA42" w14:textId="77777777" w:rsidR="000A6003" w:rsidRDefault="000A6003"/>
    <w:p w14:paraId="2A841C41" w14:textId="77777777" w:rsidR="000A6003" w:rsidRDefault="009D0F65">
      <w:pPr>
        <w:pStyle w:val="Heading3"/>
      </w:pPr>
      <w:bookmarkStart w:id="144" w:name="_Toc134081060"/>
      <w:r>
        <w:t>Summary</w:t>
      </w:r>
      <w:bookmarkEnd w:id="144"/>
      <w:r>
        <w:t xml:space="preserve"> </w:t>
      </w:r>
    </w:p>
    <w:p w14:paraId="293CA854" w14:textId="77777777" w:rsidR="000A6003" w:rsidRDefault="000A6003"/>
    <w:tbl>
      <w:tblPr>
        <w:tblStyle w:val="3"/>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080"/>
        <w:gridCol w:w="1440"/>
        <w:gridCol w:w="1440"/>
        <w:gridCol w:w="1530"/>
        <w:gridCol w:w="2995"/>
      </w:tblGrid>
      <w:tr w:rsidR="000A6003" w:rsidRPr="00BC5C1D" w14:paraId="1458E5A7" w14:textId="77777777" w:rsidTr="00095237">
        <w:trPr>
          <w:tblHeader/>
        </w:trPr>
        <w:tc>
          <w:tcPr>
            <w:tcW w:w="1340" w:type="dxa"/>
            <w:shd w:val="clear" w:color="auto" w:fill="CFE2F3"/>
            <w:tcMar>
              <w:top w:w="100" w:type="dxa"/>
              <w:left w:w="100" w:type="dxa"/>
              <w:bottom w:w="100" w:type="dxa"/>
              <w:right w:w="100" w:type="dxa"/>
            </w:tcMar>
          </w:tcPr>
          <w:p w14:paraId="171279A2"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ID System</w:t>
            </w:r>
          </w:p>
        </w:tc>
        <w:tc>
          <w:tcPr>
            <w:tcW w:w="1080" w:type="dxa"/>
            <w:shd w:val="clear" w:color="auto" w:fill="CFE2F3"/>
            <w:tcMar>
              <w:top w:w="100" w:type="dxa"/>
              <w:left w:w="100" w:type="dxa"/>
              <w:bottom w:w="100" w:type="dxa"/>
              <w:right w:w="100" w:type="dxa"/>
            </w:tcMar>
          </w:tcPr>
          <w:p w14:paraId="3AD0EA88"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Number of identities</w:t>
            </w:r>
          </w:p>
        </w:tc>
        <w:tc>
          <w:tcPr>
            <w:tcW w:w="1440" w:type="dxa"/>
            <w:shd w:val="clear" w:color="auto" w:fill="CFE2F3"/>
            <w:tcMar>
              <w:top w:w="100" w:type="dxa"/>
              <w:left w:w="100" w:type="dxa"/>
              <w:bottom w:w="100" w:type="dxa"/>
              <w:right w:w="100" w:type="dxa"/>
            </w:tcMar>
          </w:tcPr>
          <w:p w14:paraId="7BC24376"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Services Supported</w:t>
            </w:r>
          </w:p>
        </w:tc>
        <w:tc>
          <w:tcPr>
            <w:tcW w:w="1440" w:type="dxa"/>
            <w:shd w:val="clear" w:color="auto" w:fill="CFE2F3"/>
            <w:tcMar>
              <w:top w:w="100" w:type="dxa"/>
              <w:left w:w="100" w:type="dxa"/>
              <w:bottom w:w="100" w:type="dxa"/>
              <w:right w:w="100" w:type="dxa"/>
            </w:tcMar>
          </w:tcPr>
          <w:p w14:paraId="66A300D3"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Usable by third-parties</w:t>
            </w:r>
          </w:p>
        </w:tc>
        <w:tc>
          <w:tcPr>
            <w:tcW w:w="1530" w:type="dxa"/>
            <w:shd w:val="clear" w:color="auto" w:fill="CFE2F3"/>
            <w:tcMar>
              <w:top w:w="100" w:type="dxa"/>
              <w:left w:w="100" w:type="dxa"/>
              <w:bottom w:w="100" w:type="dxa"/>
              <w:right w:w="100" w:type="dxa"/>
            </w:tcMar>
          </w:tcPr>
          <w:p w14:paraId="16637B57"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Reported identities impacted by security breaches</w:t>
            </w:r>
          </w:p>
        </w:tc>
        <w:tc>
          <w:tcPr>
            <w:tcW w:w="2995" w:type="dxa"/>
            <w:shd w:val="clear" w:color="auto" w:fill="CFE2F3"/>
            <w:tcMar>
              <w:top w:w="100" w:type="dxa"/>
              <w:left w:w="100" w:type="dxa"/>
              <w:bottom w:w="100" w:type="dxa"/>
              <w:right w:w="100" w:type="dxa"/>
            </w:tcMar>
          </w:tcPr>
          <w:p w14:paraId="017F8689"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Privacy considerations</w:t>
            </w:r>
          </w:p>
        </w:tc>
      </w:tr>
      <w:tr w:rsidR="00BC5C1D" w:rsidRPr="00BC5C1D" w14:paraId="092E3EE5" w14:textId="77777777" w:rsidTr="00BC5C1D">
        <w:tc>
          <w:tcPr>
            <w:tcW w:w="1340" w:type="dxa"/>
            <w:shd w:val="clear" w:color="auto" w:fill="auto"/>
            <w:tcMar>
              <w:top w:w="100" w:type="dxa"/>
              <w:left w:w="100" w:type="dxa"/>
              <w:bottom w:w="100" w:type="dxa"/>
              <w:right w:w="100" w:type="dxa"/>
            </w:tcMar>
          </w:tcPr>
          <w:p w14:paraId="2133DD4A" w14:textId="0178EC2D" w:rsidR="00BC5C1D" w:rsidRPr="00C262E5" w:rsidRDefault="00BC5C1D" w:rsidP="00BC5C1D">
            <w:pPr>
              <w:widowControl w:val="0"/>
              <w:pBdr>
                <w:top w:val="nil"/>
                <w:left w:val="nil"/>
                <w:bottom w:val="nil"/>
                <w:right w:val="nil"/>
                <w:between w:val="nil"/>
              </w:pBdr>
              <w:rPr>
                <w:sz w:val="20"/>
                <w:szCs w:val="20"/>
              </w:rPr>
            </w:pPr>
            <w:r>
              <w:rPr>
                <w:sz w:val="20"/>
                <w:szCs w:val="20"/>
              </w:rPr>
              <w:t xml:space="preserve">EU’s </w:t>
            </w:r>
            <w:r w:rsidRPr="00C262E5">
              <w:rPr>
                <w:sz w:val="20"/>
                <w:szCs w:val="20"/>
              </w:rPr>
              <w:t>eIDAS 2.0</w:t>
            </w:r>
          </w:p>
        </w:tc>
        <w:tc>
          <w:tcPr>
            <w:tcW w:w="1080" w:type="dxa"/>
            <w:shd w:val="clear" w:color="auto" w:fill="auto"/>
            <w:tcMar>
              <w:top w:w="100" w:type="dxa"/>
              <w:left w:w="100" w:type="dxa"/>
              <w:bottom w:w="100" w:type="dxa"/>
              <w:right w:w="100" w:type="dxa"/>
            </w:tcMar>
          </w:tcPr>
          <w:p w14:paraId="5DBD2ACF" w14:textId="2704EFAD" w:rsidR="00BC5C1D" w:rsidRPr="00BC5C1D" w:rsidRDefault="00BC5C1D" w:rsidP="00BC5C1D">
            <w:pPr>
              <w:widowControl w:val="0"/>
              <w:pBdr>
                <w:top w:val="nil"/>
                <w:left w:val="nil"/>
                <w:bottom w:val="nil"/>
                <w:right w:val="nil"/>
                <w:between w:val="nil"/>
              </w:pBdr>
              <w:rPr>
                <w:bCs/>
                <w:sz w:val="20"/>
                <w:szCs w:val="20"/>
              </w:rPr>
            </w:pPr>
            <w:r w:rsidRPr="00BC5C1D">
              <w:rPr>
                <w:bCs/>
                <w:sz w:val="20"/>
                <w:szCs w:val="20"/>
              </w:rPr>
              <w:t>(TBD)</w:t>
            </w:r>
          </w:p>
        </w:tc>
        <w:tc>
          <w:tcPr>
            <w:tcW w:w="1440" w:type="dxa"/>
            <w:shd w:val="clear" w:color="auto" w:fill="auto"/>
            <w:tcMar>
              <w:top w:w="100" w:type="dxa"/>
              <w:left w:w="100" w:type="dxa"/>
              <w:bottom w:w="100" w:type="dxa"/>
              <w:right w:w="100" w:type="dxa"/>
            </w:tcMar>
          </w:tcPr>
          <w:p w14:paraId="3D20399D" w14:textId="2BB77DE4" w:rsidR="00BC5C1D" w:rsidRPr="00C262E5" w:rsidRDefault="00BC5C1D" w:rsidP="00BC5C1D">
            <w:pPr>
              <w:widowControl w:val="0"/>
              <w:pBdr>
                <w:top w:val="nil"/>
                <w:left w:val="nil"/>
                <w:bottom w:val="nil"/>
                <w:right w:val="nil"/>
                <w:between w:val="nil"/>
              </w:pBdr>
              <w:rPr>
                <w:sz w:val="20"/>
                <w:szCs w:val="20"/>
              </w:rPr>
            </w:pPr>
            <w:r w:rsidRPr="00C262E5">
              <w:rPr>
                <w:sz w:val="20"/>
                <w:szCs w:val="20"/>
              </w:rPr>
              <w:t xml:space="preserve">under development; use cases informing eIDAS </w:t>
            </w:r>
            <w:proofErr w:type="gramStart"/>
            <w:r w:rsidRPr="00C262E5">
              <w:rPr>
                <w:sz w:val="20"/>
                <w:szCs w:val="20"/>
              </w:rPr>
              <w:t>include:</w:t>
            </w:r>
            <w:proofErr w:type="gramEnd"/>
            <w:r w:rsidRPr="00C262E5">
              <w:rPr>
                <w:sz w:val="20"/>
                <w:szCs w:val="20"/>
              </w:rPr>
              <w:t xml:space="preserve"> general online services, mobility and digital driving license, health, educational credentials and professional qualifications, digital finance, and digital travel credentials</w:t>
            </w:r>
            <w:r w:rsidRPr="00C262E5">
              <w:rPr>
                <w:sz w:val="20"/>
                <w:szCs w:val="20"/>
                <w:vertAlign w:val="superscript"/>
              </w:rPr>
              <w:footnoteReference w:id="67"/>
            </w:r>
          </w:p>
        </w:tc>
        <w:tc>
          <w:tcPr>
            <w:tcW w:w="1440" w:type="dxa"/>
            <w:shd w:val="clear" w:color="auto" w:fill="auto"/>
            <w:tcMar>
              <w:top w:w="100" w:type="dxa"/>
              <w:left w:w="100" w:type="dxa"/>
              <w:bottom w:w="100" w:type="dxa"/>
              <w:right w:w="100" w:type="dxa"/>
            </w:tcMar>
          </w:tcPr>
          <w:p w14:paraId="184F23E3" w14:textId="0202183F" w:rsidR="00BC5C1D" w:rsidRPr="00C262E5" w:rsidRDefault="00BC5C1D" w:rsidP="00BC5C1D">
            <w:pPr>
              <w:widowControl w:val="0"/>
              <w:pBdr>
                <w:top w:val="nil"/>
                <w:left w:val="nil"/>
                <w:bottom w:val="nil"/>
                <w:right w:val="nil"/>
                <w:between w:val="nil"/>
              </w:pBdr>
              <w:rPr>
                <w:sz w:val="20"/>
                <w:szCs w:val="20"/>
              </w:rPr>
            </w:pPr>
            <w:r w:rsidRPr="00C262E5">
              <w:rPr>
                <w:sz w:val="20"/>
                <w:szCs w:val="20"/>
              </w:rPr>
              <w:t>Yes</w:t>
            </w:r>
          </w:p>
        </w:tc>
        <w:tc>
          <w:tcPr>
            <w:tcW w:w="1530" w:type="dxa"/>
            <w:shd w:val="clear" w:color="auto" w:fill="auto"/>
            <w:tcMar>
              <w:top w:w="100" w:type="dxa"/>
              <w:left w:w="100" w:type="dxa"/>
              <w:bottom w:w="100" w:type="dxa"/>
              <w:right w:w="100" w:type="dxa"/>
            </w:tcMar>
          </w:tcPr>
          <w:p w14:paraId="2F208BDD" w14:textId="2568E282" w:rsidR="00BC5C1D" w:rsidRPr="00C262E5" w:rsidRDefault="00BC5C1D" w:rsidP="00BC5C1D">
            <w:pPr>
              <w:rPr>
                <w:sz w:val="20"/>
                <w:szCs w:val="20"/>
              </w:rPr>
            </w:pPr>
            <w:r w:rsidRPr="00C262E5">
              <w:rPr>
                <w:sz w:val="20"/>
                <w:szCs w:val="20"/>
              </w:rPr>
              <w:t>n/a</w:t>
            </w:r>
          </w:p>
        </w:tc>
        <w:tc>
          <w:tcPr>
            <w:tcW w:w="2995" w:type="dxa"/>
            <w:shd w:val="clear" w:color="auto" w:fill="auto"/>
            <w:tcMar>
              <w:top w:w="100" w:type="dxa"/>
              <w:left w:w="100" w:type="dxa"/>
              <w:bottom w:w="100" w:type="dxa"/>
              <w:right w:w="100" w:type="dxa"/>
            </w:tcMar>
          </w:tcPr>
          <w:p w14:paraId="0EA2734E" w14:textId="77777777" w:rsidR="00BC5C1D" w:rsidRPr="00C262E5" w:rsidRDefault="00BC5C1D" w:rsidP="00BC5C1D">
            <w:pPr>
              <w:rPr>
                <w:sz w:val="20"/>
                <w:szCs w:val="20"/>
              </w:rPr>
            </w:pPr>
          </w:p>
        </w:tc>
      </w:tr>
      <w:tr w:rsidR="000A6003" w:rsidRPr="00BC5C1D" w14:paraId="572E4218" w14:textId="77777777" w:rsidTr="00BC5C1D">
        <w:tc>
          <w:tcPr>
            <w:tcW w:w="1340" w:type="dxa"/>
            <w:shd w:val="clear" w:color="auto" w:fill="auto"/>
            <w:tcMar>
              <w:top w:w="100" w:type="dxa"/>
              <w:left w:w="100" w:type="dxa"/>
              <w:bottom w:w="100" w:type="dxa"/>
              <w:right w:w="100" w:type="dxa"/>
            </w:tcMar>
          </w:tcPr>
          <w:p w14:paraId="5632D514" w14:textId="77777777" w:rsidR="00BC5C1D" w:rsidRDefault="00BC5C1D">
            <w:pPr>
              <w:widowControl w:val="0"/>
              <w:pBdr>
                <w:top w:val="nil"/>
                <w:left w:val="nil"/>
                <w:bottom w:val="nil"/>
                <w:right w:val="nil"/>
                <w:between w:val="nil"/>
              </w:pBdr>
              <w:rPr>
                <w:sz w:val="20"/>
                <w:szCs w:val="20"/>
              </w:rPr>
            </w:pPr>
            <w:r>
              <w:rPr>
                <w:sz w:val="20"/>
                <w:szCs w:val="20"/>
              </w:rPr>
              <w:t>India’s</w:t>
            </w:r>
          </w:p>
          <w:p w14:paraId="316EEDC5" w14:textId="53E6BECE" w:rsidR="000A6003" w:rsidRPr="00C262E5" w:rsidRDefault="009D0F65">
            <w:pPr>
              <w:widowControl w:val="0"/>
              <w:pBdr>
                <w:top w:val="nil"/>
                <w:left w:val="nil"/>
                <w:bottom w:val="nil"/>
                <w:right w:val="nil"/>
                <w:between w:val="nil"/>
              </w:pBdr>
              <w:rPr>
                <w:sz w:val="20"/>
                <w:szCs w:val="20"/>
              </w:rPr>
            </w:pPr>
            <w:r w:rsidRPr="00C262E5">
              <w:rPr>
                <w:sz w:val="20"/>
                <w:szCs w:val="20"/>
              </w:rPr>
              <w:t>Aadhaar</w:t>
            </w:r>
          </w:p>
        </w:tc>
        <w:tc>
          <w:tcPr>
            <w:tcW w:w="1080" w:type="dxa"/>
            <w:shd w:val="clear" w:color="auto" w:fill="auto"/>
            <w:tcMar>
              <w:top w:w="100" w:type="dxa"/>
              <w:left w:w="100" w:type="dxa"/>
              <w:bottom w:w="100" w:type="dxa"/>
              <w:right w:w="100" w:type="dxa"/>
            </w:tcMar>
          </w:tcPr>
          <w:p w14:paraId="07A46318" w14:textId="77777777" w:rsidR="000A6003" w:rsidRPr="00BC5C1D" w:rsidRDefault="009D0F65">
            <w:pPr>
              <w:widowControl w:val="0"/>
              <w:pBdr>
                <w:top w:val="nil"/>
                <w:left w:val="nil"/>
                <w:bottom w:val="nil"/>
                <w:right w:val="nil"/>
                <w:between w:val="nil"/>
              </w:pBdr>
              <w:rPr>
                <w:bCs/>
                <w:sz w:val="20"/>
                <w:szCs w:val="20"/>
              </w:rPr>
            </w:pPr>
            <w:r w:rsidRPr="00BC5C1D">
              <w:rPr>
                <w:bCs/>
                <w:sz w:val="20"/>
                <w:szCs w:val="20"/>
              </w:rPr>
              <w:t>1.359 billion (~88% of total population)</w:t>
            </w:r>
          </w:p>
        </w:tc>
        <w:tc>
          <w:tcPr>
            <w:tcW w:w="1440" w:type="dxa"/>
            <w:shd w:val="clear" w:color="auto" w:fill="auto"/>
            <w:tcMar>
              <w:top w:w="100" w:type="dxa"/>
              <w:left w:w="100" w:type="dxa"/>
              <w:bottom w:w="100" w:type="dxa"/>
              <w:right w:w="100" w:type="dxa"/>
            </w:tcMar>
          </w:tcPr>
          <w:p w14:paraId="487A343F"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welfare payments and social services;</w:t>
            </w:r>
          </w:p>
          <w:p w14:paraId="133330A4"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 xml:space="preserve">cashless payments (see the </w:t>
            </w:r>
            <w:r w:rsidRPr="00C262E5">
              <w:rPr>
                <w:sz w:val="20"/>
                <w:szCs w:val="20"/>
              </w:rPr>
              <w:lastRenderedPageBreak/>
              <w:t>Universal Payment Interface)</w:t>
            </w:r>
          </w:p>
        </w:tc>
        <w:tc>
          <w:tcPr>
            <w:tcW w:w="1440" w:type="dxa"/>
            <w:shd w:val="clear" w:color="auto" w:fill="auto"/>
            <w:tcMar>
              <w:top w:w="100" w:type="dxa"/>
              <w:left w:w="100" w:type="dxa"/>
              <w:bottom w:w="100" w:type="dxa"/>
              <w:right w:w="100" w:type="dxa"/>
            </w:tcMar>
          </w:tcPr>
          <w:p w14:paraId="2DDDB3FC" w14:textId="77777777" w:rsidR="000A6003" w:rsidRPr="00C262E5" w:rsidRDefault="009D0F65">
            <w:pPr>
              <w:widowControl w:val="0"/>
              <w:pBdr>
                <w:top w:val="nil"/>
                <w:left w:val="nil"/>
                <w:bottom w:val="nil"/>
                <w:right w:val="nil"/>
                <w:between w:val="nil"/>
              </w:pBdr>
              <w:rPr>
                <w:sz w:val="20"/>
                <w:szCs w:val="20"/>
              </w:rPr>
            </w:pPr>
            <w:r w:rsidRPr="00C262E5">
              <w:rPr>
                <w:sz w:val="20"/>
                <w:szCs w:val="20"/>
              </w:rPr>
              <w:lastRenderedPageBreak/>
              <w:t>Yes</w:t>
            </w:r>
          </w:p>
        </w:tc>
        <w:tc>
          <w:tcPr>
            <w:tcW w:w="1530" w:type="dxa"/>
            <w:shd w:val="clear" w:color="auto" w:fill="auto"/>
            <w:tcMar>
              <w:top w:w="100" w:type="dxa"/>
              <w:left w:w="100" w:type="dxa"/>
              <w:bottom w:w="100" w:type="dxa"/>
              <w:right w:w="100" w:type="dxa"/>
            </w:tcMar>
          </w:tcPr>
          <w:p w14:paraId="2D4E8B10" w14:textId="2C29CBDE" w:rsidR="000A6003" w:rsidRPr="00C262E5" w:rsidRDefault="009D0F65">
            <w:pPr>
              <w:rPr>
                <w:sz w:val="20"/>
                <w:szCs w:val="20"/>
              </w:rPr>
            </w:pPr>
            <w:r w:rsidRPr="00C262E5">
              <w:rPr>
                <w:sz w:val="20"/>
                <w:szCs w:val="20"/>
              </w:rPr>
              <w:t xml:space="preserve">over 1 billion records </w:t>
            </w:r>
            <w:r w:rsidR="00950CA4">
              <w:rPr>
                <w:sz w:val="20"/>
                <w:szCs w:val="20"/>
              </w:rPr>
              <w:t xml:space="preserve">potentially exposed in </w:t>
            </w:r>
            <w:r w:rsidR="00950CA4">
              <w:rPr>
                <w:sz w:val="20"/>
                <w:szCs w:val="20"/>
              </w:rPr>
              <w:lastRenderedPageBreak/>
              <w:t>various breaches</w:t>
            </w:r>
            <w:r w:rsidRPr="00C262E5">
              <w:rPr>
                <w:sz w:val="20"/>
                <w:szCs w:val="20"/>
              </w:rPr>
              <w:t>.</w:t>
            </w:r>
            <w:r w:rsidRPr="00C262E5">
              <w:rPr>
                <w:sz w:val="20"/>
                <w:szCs w:val="20"/>
                <w:vertAlign w:val="superscript"/>
              </w:rPr>
              <w:footnoteReference w:id="68"/>
            </w:r>
          </w:p>
        </w:tc>
        <w:tc>
          <w:tcPr>
            <w:tcW w:w="2995" w:type="dxa"/>
            <w:shd w:val="clear" w:color="auto" w:fill="auto"/>
            <w:tcMar>
              <w:top w:w="100" w:type="dxa"/>
              <w:left w:w="100" w:type="dxa"/>
              <w:bottom w:w="100" w:type="dxa"/>
              <w:right w:w="100" w:type="dxa"/>
            </w:tcMar>
          </w:tcPr>
          <w:p w14:paraId="3939A759" w14:textId="77777777" w:rsidR="000A6003" w:rsidRPr="00C262E5" w:rsidRDefault="009D0F65">
            <w:pPr>
              <w:rPr>
                <w:sz w:val="20"/>
                <w:szCs w:val="20"/>
              </w:rPr>
            </w:pPr>
            <w:r w:rsidRPr="00C262E5">
              <w:rPr>
                <w:sz w:val="20"/>
                <w:szCs w:val="20"/>
              </w:rPr>
              <w:lastRenderedPageBreak/>
              <w:t>India’s Supreme Court noted the following:</w:t>
            </w:r>
            <w:r w:rsidRPr="00C262E5">
              <w:rPr>
                <w:sz w:val="20"/>
                <w:szCs w:val="20"/>
                <w:vertAlign w:val="superscript"/>
              </w:rPr>
              <w:footnoteReference w:id="69"/>
            </w:r>
          </w:p>
          <w:p w14:paraId="73D5E68F" w14:textId="57EB3AB4" w:rsidR="000A6003" w:rsidRPr="00C262E5" w:rsidRDefault="009D0F65">
            <w:pPr>
              <w:rPr>
                <w:sz w:val="20"/>
                <w:szCs w:val="20"/>
              </w:rPr>
            </w:pPr>
            <w:r w:rsidRPr="00C262E5">
              <w:rPr>
                <w:sz w:val="20"/>
                <w:szCs w:val="20"/>
              </w:rPr>
              <w:t>• The Unique Identification Authority of India (UIDAI) does not collect purpose, location, or details of transactions.</w:t>
            </w:r>
          </w:p>
          <w:p w14:paraId="6FFAE4FF" w14:textId="62A736AA" w:rsidR="000A6003" w:rsidRPr="00C262E5" w:rsidRDefault="009D0F65">
            <w:pPr>
              <w:rPr>
                <w:sz w:val="20"/>
                <w:szCs w:val="20"/>
              </w:rPr>
            </w:pPr>
            <w:r w:rsidRPr="00C262E5">
              <w:rPr>
                <w:sz w:val="20"/>
                <w:szCs w:val="20"/>
              </w:rPr>
              <w:lastRenderedPageBreak/>
              <w:t>• What information is being collected reasonably balances the right to privacy and the right to basic human services such as food, shelter, and employment.</w:t>
            </w:r>
          </w:p>
          <w:p w14:paraId="072FFDF5" w14:textId="16982AC2" w:rsidR="000A6003" w:rsidRPr="00C262E5" w:rsidRDefault="009D0F65">
            <w:pPr>
              <w:rPr>
                <w:sz w:val="20"/>
                <w:szCs w:val="20"/>
              </w:rPr>
            </w:pPr>
            <w:r w:rsidRPr="00C262E5">
              <w:rPr>
                <w:sz w:val="20"/>
                <w:szCs w:val="20"/>
              </w:rPr>
              <w:t>• An Aadhaar identifier cannot be required to open a bank account (thought it can be required for certain government services).</w:t>
            </w:r>
          </w:p>
        </w:tc>
      </w:tr>
      <w:tr w:rsidR="000A6003" w:rsidRPr="00BC5C1D" w14:paraId="745FD1F9" w14:textId="77777777" w:rsidTr="00BC5C1D">
        <w:tc>
          <w:tcPr>
            <w:tcW w:w="1340" w:type="dxa"/>
            <w:shd w:val="clear" w:color="auto" w:fill="auto"/>
            <w:tcMar>
              <w:top w:w="100" w:type="dxa"/>
              <w:left w:w="100" w:type="dxa"/>
              <w:bottom w:w="100" w:type="dxa"/>
              <w:right w:w="100" w:type="dxa"/>
            </w:tcMar>
          </w:tcPr>
          <w:p w14:paraId="580A511A" w14:textId="77777777" w:rsidR="00BC5C1D" w:rsidRDefault="00BC5C1D">
            <w:pPr>
              <w:widowControl w:val="0"/>
              <w:pBdr>
                <w:top w:val="nil"/>
                <w:left w:val="nil"/>
                <w:bottom w:val="nil"/>
                <w:right w:val="nil"/>
                <w:between w:val="nil"/>
              </w:pBdr>
              <w:rPr>
                <w:sz w:val="20"/>
                <w:szCs w:val="20"/>
              </w:rPr>
            </w:pPr>
            <w:r>
              <w:rPr>
                <w:sz w:val="20"/>
                <w:szCs w:val="20"/>
              </w:rPr>
              <w:t>Italy’s</w:t>
            </w:r>
          </w:p>
          <w:p w14:paraId="0F827AE5" w14:textId="580F24F9" w:rsidR="000A6003" w:rsidRPr="00C262E5" w:rsidRDefault="009D0F65">
            <w:pPr>
              <w:widowControl w:val="0"/>
              <w:pBdr>
                <w:top w:val="nil"/>
                <w:left w:val="nil"/>
                <w:bottom w:val="nil"/>
                <w:right w:val="nil"/>
                <w:between w:val="nil"/>
              </w:pBdr>
              <w:rPr>
                <w:sz w:val="20"/>
                <w:szCs w:val="20"/>
              </w:rPr>
            </w:pPr>
            <w:r w:rsidRPr="00C262E5">
              <w:rPr>
                <w:sz w:val="20"/>
                <w:szCs w:val="20"/>
              </w:rPr>
              <w:t>SPID</w:t>
            </w:r>
          </w:p>
        </w:tc>
        <w:tc>
          <w:tcPr>
            <w:tcW w:w="1080" w:type="dxa"/>
            <w:shd w:val="clear" w:color="auto" w:fill="auto"/>
            <w:tcMar>
              <w:top w:w="100" w:type="dxa"/>
              <w:left w:w="100" w:type="dxa"/>
              <w:bottom w:w="100" w:type="dxa"/>
              <w:right w:w="100" w:type="dxa"/>
            </w:tcMar>
          </w:tcPr>
          <w:p w14:paraId="1BB157F2" w14:textId="14567EB4" w:rsidR="000A6003" w:rsidRPr="00BC5C1D" w:rsidRDefault="009D0F65">
            <w:pPr>
              <w:widowControl w:val="0"/>
              <w:pBdr>
                <w:top w:val="nil"/>
                <w:left w:val="nil"/>
                <w:bottom w:val="nil"/>
                <w:right w:val="nil"/>
                <w:between w:val="nil"/>
              </w:pBdr>
              <w:rPr>
                <w:bCs/>
                <w:sz w:val="20"/>
                <w:szCs w:val="20"/>
              </w:rPr>
            </w:pPr>
            <w:r w:rsidRPr="00BC5C1D">
              <w:rPr>
                <w:bCs/>
                <w:sz w:val="20"/>
                <w:szCs w:val="20"/>
              </w:rPr>
              <w:t xml:space="preserve">33 million (63% </w:t>
            </w:r>
            <w:r w:rsidR="00DF59A1">
              <w:rPr>
                <w:bCs/>
                <w:sz w:val="20"/>
                <w:szCs w:val="20"/>
              </w:rPr>
              <w:t xml:space="preserve">of </w:t>
            </w:r>
            <w:r w:rsidRPr="00BC5C1D">
              <w:rPr>
                <w:bCs/>
                <w:sz w:val="20"/>
                <w:szCs w:val="20"/>
              </w:rPr>
              <w:t>adult population)</w:t>
            </w:r>
          </w:p>
        </w:tc>
        <w:tc>
          <w:tcPr>
            <w:tcW w:w="1440" w:type="dxa"/>
            <w:shd w:val="clear" w:color="auto" w:fill="auto"/>
            <w:tcMar>
              <w:top w:w="100" w:type="dxa"/>
              <w:left w:w="100" w:type="dxa"/>
              <w:bottom w:w="100" w:type="dxa"/>
              <w:right w:w="100" w:type="dxa"/>
            </w:tcMar>
          </w:tcPr>
          <w:p w14:paraId="7D878D97"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Over 12,000 public administrations are offering at least one service online through SPID by November 2022.</w:t>
            </w:r>
          </w:p>
          <w:p w14:paraId="544FE047"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141 private companies had joined SPID by October 2022.</w:t>
            </w:r>
            <w:r w:rsidRPr="00C262E5">
              <w:rPr>
                <w:sz w:val="20"/>
                <w:szCs w:val="20"/>
                <w:vertAlign w:val="superscript"/>
              </w:rPr>
              <w:footnoteReference w:id="70"/>
            </w:r>
          </w:p>
        </w:tc>
        <w:tc>
          <w:tcPr>
            <w:tcW w:w="1440" w:type="dxa"/>
            <w:shd w:val="clear" w:color="auto" w:fill="auto"/>
            <w:tcMar>
              <w:top w:w="100" w:type="dxa"/>
              <w:left w:w="100" w:type="dxa"/>
              <w:bottom w:w="100" w:type="dxa"/>
              <w:right w:w="100" w:type="dxa"/>
            </w:tcMar>
          </w:tcPr>
          <w:p w14:paraId="175BD88A"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Yes</w:t>
            </w:r>
          </w:p>
        </w:tc>
        <w:tc>
          <w:tcPr>
            <w:tcW w:w="1530" w:type="dxa"/>
            <w:shd w:val="clear" w:color="auto" w:fill="auto"/>
            <w:tcMar>
              <w:top w:w="100" w:type="dxa"/>
              <w:left w:w="100" w:type="dxa"/>
              <w:bottom w:w="100" w:type="dxa"/>
              <w:right w:w="100" w:type="dxa"/>
            </w:tcMar>
          </w:tcPr>
          <w:p w14:paraId="398EEA51"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n/a</w:t>
            </w:r>
          </w:p>
        </w:tc>
        <w:tc>
          <w:tcPr>
            <w:tcW w:w="2995" w:type="dxa"/>
            <w:shd w:val="clear" w:color="auto" w:fill="auto"/>
            <w:tcMar>
              <w:top w:w="100" w:type="dxa"/>
              <w:left w:w="100" w:type="dxa"/>
              <w:bottom w:w="100" w:type="dxa"/>
              <w:right w:w="100" w:type="dxa"/>
            </w:tcMar>
          </w:tcPr>
          <w:p w14:paraId="3AC00A81" w14:textId="6F9285F6" w:rsidR="000A6003" w:rsidRPr="00C262E5" w:rsidRDefault="009D0F65">
            <w:pPr>
              <w:widowControl w:val="0"/>
              <w:pBdr>
                <w:top w:val="nil"/>
                <w:left w:val="nil"/>
                <w:bottom w:val="nil"/>
                <w:right w:val="nil"/>
                <w:between w:val="nil"/>
              </w:pBdr>
              <w:rPr>
                <w:sz w:val="20"/>
                <w:szCs w:val="20"/>
              </w:rPr>
            </w:pPr>
            <w:r w:rsidRPr="00C262E5">
              <w:rPr>
                <w:sz w:val="20"/>
                <w:szCs w:val="20"/>
              </w:rPr>
              <w:t>This service must comply with all applicable EU and national laws and regulations (e.g., GDPR, NIS2, eIDAS2.0)</w:t>
            </w:r>
            <w:r w:rsidR="00876FAA" w:rsidRPr="00C262E5">
              <w:rPr>
                <w:sz w:val="20"/>
                <w:szCs w:val="20"/>
              </w:rPr>
              <w:t>.</w:t>
            </w:r>
          </w:p>
        </w:tc>
      </w:tr>
      <w:tr w:rsidR="000A6003" w:rsidRPr="00BC5C1D" w14:paraId="777A9714" w14:textId="77777777" w:rsidTr="00BC5C1D">
        <w:tc>
          <w:tcPr>
            <w:tcW w:w="1340" w:type="dxa"/>
            <w:shd w:val="clear" w:color="auto" w:fill="auto"/>
            <w:tcMar>
              <w:top w:w="100" w:type="dxa"/>
              <w:left w:w="100" w:type="dxa"/>
              <w:bottom w:w="100" w:type="dxa"/>
              <w:right w:w="100" w:type="dxa"/>
            </w:tcMar>
          </w:tcPr>
          <w:p w14:paraId="1B0738DE" w14:textId="18FF1333" w:rsidR="000A6003" w:rsidRPr="00C262E5" w:rsidRDefault="00BC5C1D">
            <w:pPr>
              <w:widowControl w:val="0"/>
              <w:pBdr>
                <w:top w:val="nil"/>
                <w:left w:val="nil"/>
                <w:bottom w:val="nil"/>
                <w:right w:val="nil"/>
                <w:between w:val="nil"/>
              </w:pBdr>
              <w:rPr>
                <w:sz w:val="20"/>
                <w:szCs w:val="20"/>
              </w:rPr>
            </w:pPr>
            <w:r>
              <w:rPr>
                <w:sz w:val="20"/>
                <w:szCs w:val="20"/>
              </w:rPr>
              <w:t xml:space="preserve">Nigeria’s </w:t>
            </w:r>
            <w:proofErr w:type="spellStart"/>
            <w:r>
              <w:rPr>
                <w:sz w:val="20"/>
                <w:szCs w:val="20"/>
              </w:rPr>
              <w:t>eID</w:t>
            </w:r>
            <w:proofErr w:type="spellEnd"/>
          </w:p>
        </w:tc>
        <w:tc>
          <w:tcPr>
            <w:tcW w:w="1080" w:type="dxa"/>
            <w:shd w:val="clear" w:color="auto" w:fill="auto"/>
            <w:tcMar>
              <w:top w:w="100" w:type="dxa"/>
              <w:left w:w="100" w:type="dxa"/>
              <w:bottom w:w="100" w:type="dxa"/>
              <w:right w:w="100" w:type="dxa"/>
            </w:tcMar>
          </w:tcPr>
          <w:p w14:paraId="2389226F" w14:textId="18946F6A" w:rsidR="000A6003" w:rsidRPr="00BC5C1D" w:rsidRDefault="006C46D1">
            <w:pPr>
              <w:widowControl w:val="0"/>
              <w:pBdr>
                <w:top w:val="nil"/>
                <w:left w:val="nil"/>
                <w:bottom w:val="nil"/>
                <w:right w:val="nil"/>
                <w:between w:val="nil"/>
              </w:pBdr>
              <w:rPr>
                <w:bCs/>
                <w:sz w:val="20"/>
                <w:szCs w:val="20"/>
              </w:rPr>
            </w:pPr>
            <w:r>
              <w:rPr>
                <w:bCs/>
                <w:sz w:val="20"/>
                <w:szCs w:val="20"/>
              </w:rPr>
              <w:t>54 million (</w:t>
            </w:r>
            <w:r w:rsidR="00DF59A1">
              <w:rPr>
                <w:bCs/>
                <w:sz w:val="20"/>
                <w:szCs w:val="20"/>
              </w:rPr>
              <w:t>~40% of eligible residents</w:t>
            </w:r>
            <w:r w:rsidR="00DF59A1">
              <w:rPr>
                <w:bCs/>
                <w:sz w:val="20"/>
                <w:szCs w:val="20"/>
              </w:rPr>
              <w:lastRenderedPageBreak/>
              <w:t>)</w:t>
            </w:r>
          </w:p>
        </w:tc>
        <w:tc>
          <w:tcPr>
            <w:tcW w:w="1440" w:type="dxa"/>
            <w:shd w:val="clear" w:color="auto" w:fill="auto"/>
            <w:tcMar>
              <w:top w:w="100" w:type="dxa"/>
              <w:left w:w="100" w:type="dxa"/>
              <w:bottom w:w="100" w:type="dxa"/>
              <w:right w:w="100" w:type="dxa"/>
            </w:tcMar>
          </w:tcPr>
          <w:p w14:paraId="5EFAD4F6" w14:textId="13854D9E" w:rsidR="000A6003" w:rsidRPr="00C262E5" w:rsidRDefault="00B02142">
            <w:pPr>
              <w:widowControl w:val="0"/>
              <w:pBdr>
                <w:top w:val="nil"/>
                <w:left w:val="nil"/>
                <w:bottom w:val="nil"/>
                <w:right w:val="nil"/>
                <w:between w:val="nil"/>
              </w:pBdr>
              <w:rPr>
                <w:sz w:val="20"/>
                <w:szCs w:val="20"/>
              </w:rPr>
            </w:pPr>
            <w:r>
              <w:rPr>
                <w:sz w:val="20"/>
                <w:szCs w:val="20"/>
              </w:rPr>
              <w:lastRenderedPageBreak/>
              <w:t xml:space="preserve">Intended for banking and financial services, </w:t>
            </w:r>
            <w:r w:rsidRPr="00B02142">
              <w:rPr>
                <w:sz w:val="20"/>
                <w:szCs w:val="20"/>
              </w:rPr>
              <w:t xml:space="preserve">voting, </w:t>
            </w:r>
            <w:r w:rsidRPr="00B02142">
              <w:rPr>
                <w:sz w:val="20"/>
                <w:szCs w:val="20"/>
              </w:rPr>
              <w:lastRenderedPageBreak/>
              <w:t xml:space="preserve">pensions, health benefits, </w:t>
            </w:r>
            <w:proofErr w:type="gramStart"/>
            <w:r w:rsidRPr="00B02142">
              <w:rPr>
                <w:sz w:val="20"/>
                <w:szCs w:val="20"/>
              </w:rPr>
              <w:t>drivers</w:t>
            </w:r>
            <w:proofErr w:type="gramEnd"/>
            <w:r w:rsidRPr="00B02142">
              <w:rPr>
                <w:sz w:val="20"/>
                <w:szCs w:val="20"/>
              </w:rPr>
              <w:t xml:space="preserve"> </w:t>
            </w:r>
            <w:proofErr w:type="spellStart"/>
            <w:r w:rsidRPr="00B02142">
              <w:rPr>
                <w:sz w:val="20"/>
                <w:szCs w:val="20"/>
              </w:rPr>
              <w:t>licence</w:t>
            </w:r>
            <w:proofErr w:type="spellEnd"/>
            <w:r w:rsidRPr="00B02142">
              <w:rPr>
                <w:sz w:val="20"/>
                <w:szCs w:val="20"/>
              </w:rPr>
              <w:t>, taxes, etc.</w:t>
            </w:r>
          </w:p>
        </w:tc>
        <w:tc>
          <w:tcPr>
            <w:tcW w:w="1440" w:type="dxa"/>
            <w:shd w:val="clear" w:color="auto" w:fill="auto"/>
            <w:tcMar>
              <w:top w:w="100" w:type="dxa"/>
              <w:left w:w="100" w:type="dxa"/>
              <w:bottom w:w="100" w:type="dxa"/>
              <w:right w:w="100" w:type="dxa"/>
            </w:tcMar>
          </w:tcPr>
          <w:p w14:paraId="57C8DCFF" w14:textId="1C872F52" w:rsidR="000A6003" w:rsidRPr="00C262E5" w:rsidRDefault="00B02142">
            <w:pPr>
              <w:widowControl w:val="0"/>
              <w:pBdr>
                <w:top w:val="nil"/>
                <w:left w:val="nil"/>
                <w:bottom w:val="nil"/>
                <w:right w:val="nil"/>
                <w:between w:val="nil"/>
              </w:pBdr>
              <w:rPr>
                <w:sz w:val="20"/>
                <w:szCs w:val="20"/>
              </w:rPr>
            </w:pPr>
            <w:r>
              <w:rPr>
                <w:sz w:val="20"/>
                <w:szCs w:val="20"/>
              </w:rPr>
              <w:lastRenderedPageBreak/>
              <w:t>Yes</w:t>
            </w:r>
          </w:p>
        </w:tc>
        <w:tc>
          <w:tcPr>
            <w:tcW w:w="1530" w:type="dxa"/>
            <w:shd w:val="clear" w:color="auto" w:fill="auto"/>
            <w:tcMar>
              <w:top w:w="100" w:type="dxa"/>
              <w:left w:w="100" w:type="dxa"/>
              <w:bottom w:w="100" w:type="dxa"/>
              <w:right w:w="100" w:type="dxa"/>
            </w:tcMar>
          </w:tcPr>
          <w:p w14:paraId="4FD31799" w14:textId="02976724" w:rsidR="000A6003" w:rsidRPr="00C262E5" w:rsidRDefault="00B02142">
            <w:pPr>
              <w:widowControl w:val="0"/>
              <w:pBdr>
                <w:top w:val="nil"/>
                <w:left w:val="nil"/>
                <w:bottom w:val="nil"/>
                <w:right w:val="nil"/>
                <w:between w:val="nil"/>
              </w:pBdr>
              <w:rPr>
                <w:sz w:val="20"/>
                <w:szCs w:val="20"/>
              </w:rPr>
            </w:pPr>
            <w:r>
              <w:rPr>
                <w:sz w:val="20"/>
                <w:szCs w:val="20"/>
              </w:rPr>
              <w:t xml:space="preserve">Data is limited; while there have been reported data </w:t>
            </w:r>
            <w:r>
              <w:rPr>
                <w:sz w:val="20"/>
                <w:szCs w:val="20"/>
              </w:rPr>
              <w:lastRenderedPageBreak/>
              <w:t xml:space="preserve">breaches of government systems, whether those relate to </w:t>
            </w:r>
            <w:proofErr w:type="spellStart"/>
            <w:r>
              <w:rPr>
                <w:sz w:val="20"/>
                <w:szCs w:val="20"/>
              </w:rPr>
              <w:t>eID</w:t>
            </w:r>
            <w:proofErr w:type="spellEnd"/>
            <w:r>
              <w:rPr>
                <w:sz w:val="20"/>
                <w:szCs w:val="20"/>
              </w:rPr>
              <w:t xml:space="preserve"> services is unclear</w:t>
            </w:r>
          </w:p>
        </w:tc>
        <w:tc>
          <w:tcPr>
            <w:tcW w:w="2995" w:type="dxa"/>
            <w:shd w:val="clear" w:color="auto" w:fill="auto"/>
            <w:tcMar>
              <w:top w:w="100" w:type="dxa"/>
              <w:left w:w="100" w:type="dxa"/>
              <w:bottom w:w="100" w:type="dxa"/>
              <w:right w:w="100" w:type="dxa"/>
            </w:tcMar>
          </w:tcPr>
          <w:p w14:paraId="703D372C" w14:textId="12CE6100" w:rsidR="000A6003" w:rsidRPr="00C262E5" w:rsidRDefault="00B02142">
            <w:pPr>
              <w:widowControl w:val="0"/>
              <w:pBdr>
                <w:top w:val="nil"/>
                <w:left w:val="nil"/>
                <w:bottom w:val="nil"/>
                <w:right w:val="nil"/>
                <w:between w:val="nil"/>
              </w:pBdr>
              <w:rPr>
                <w:sz w:val="20"/>
                <w:szCs w:val="20"/>
              </w:rPr>
            </w:pPr>
            <w:r>
              <w:rPr>
                <w:sz w:val="20"/>
                <w:szCs w:val="20"/>
              </w:rPr>
              <w:lastRenderedPageBreak/>
              <w:t xml:space="preserve">Services using these credentials are expected to </w:t>
            </w:r>
            <w:proofErr w:type="gramStart"/>
            <w:r>
              <w:rPr>
                <w:sz w:val="20"/>
                <w:szCs w:val="20"/>
              </w:rPr>
              <w:t>be in compliance with</w:t>
            </w:r>
            <w:proofErr w:type="gramEnd"/>
            <w:r>
              <w:rPr>
                <w:sz w:val="20"/>
                <w:szCs w:val="20"/>
              </w:rPr>
              <w:t xml:space="preserve"> the existing Nigeria Data </w:t>
            </w:r>
            <w:r w:rsidR="00CA2B0C">
              <w:rPr>
                <w:sz w:val="20"/>
                <w:szCs w:val="20"/>
              </w:rPr>
              <w:t>Protection</w:t>
            </w:r>
            <w:r>
              <w:rPr>
                <w:sz w:val="20"/>
                <w:szCs w:val="20"/>
              </w:rPr>
              <w:t xml:space="preserve"> Regulation and the </w:t>
            </w:r>
            <w:r>
              <w:rPr>
                <w:sz w:val="20"/>
                <w:szCs w:val="20"/>
              </w:rPr>
              <w:lastRenderedPageBreak/>
              <w:t>future Nigeria Data Protection Bill (if it is approved).</w:t>
            </w:r>
          </w:p>
        </w:tc>
      </w:tr>
      <w:tr w:rsidR="00BC5C1D" w:rsidRPr="00BC5C1D" w14:paraId="2C589026" w14:textId="77777777" w:rsidTr="00BC5C1D">
        <w:tc>
          <w:tcPr>
            <w:tcW w:w="1340" w:type="dxa"/>
            <w:shd w:val="clear" w:color="auto" w:fill="auto"/>
            <w:tcMar>
              <w:top w:w="100" w:type="dxa"/>
              <w:left w:w="100" w:type="dxa"/>
              <w:bottom w:w="100" w:type="dxa"/>
              <w:right w:w="100" w:type="dxa"/>
            </w:tcMar>
          </w:tcPr>
          <w:p w14:paraId="3D95925A" w14:textId="77777777" w:rsidR="00BC5C1D" w:rsidRDefault="00BC5C1D" w:rsidP="00BC5C1D">
            <w:pPr>
              <w:widowControl w:val="0"/>
              <w:pBdr>
                <w:top w:val="nil"/>
                <w:left w:val="nil"/>
                <w:bottom w:val="nil"/>
                <w:right w:val="nil"/>
                <w:between w:val="nil"/>
              </w:pBdr>
              <w:rPr>
                <w:sz w:val="20"/>
                <w:szCs w:val="20"/>
              </w:rPr>
            </w:pPr>
            <w:r>
              <w:rPr>
                <w:sz w:val="20"/>
                <w:szCs w:val="20"/>
              </w:rPr>
              <w:t>Singapore’s</w:t>
            </w:r>
          </w:p>
          <w:p w14:paraId="0C21823F" w14:textId="7FF38DD8" w:rsidR="00BC5C1D" w:rsidRPr="00C262E5" w:rsidRDefault="00BC5C1D" w:rsidP="00BC5C1D">
            <w:pPr>
              <w:widowControl w:val="0"/>
              <w:pBdr>
                <w:top w:val="nil"/>
                <w:left w:val="nil"/>
                <w:bottom w:val="nil"/>
                <w:right w:val="nil"/>
                <w:between w:val="nil"/>
              </w:pBdr>
              <w:rPr>
                <w:sz w:val="20"/>
                <w:szCs w:val="20"/>
              </w:rPr>
            </w:pPr>
            <w:r w:rsidRPr="00C262E5">
              <w:rPr>
                <w:sz w:val="20"/>
                <w:szCs w:val="20"/>
              </w:rPr>
              <w:t>Singpass</w:t>
            </w:r>
          </w:p>
        </w:tc>
        <w:tc>
          <w:tcPr>
            <w:tcW w:w="1080" w:type="dxa"/>
            <w:shd w:val="clear" w:color="auto" w:fill="auto"/>
            <w:tcMar>
              <w:top w:w="100" w:type="dxa"/>
              <w:left w:w="100" w:type="dxa"/>
              <w:bottom w:w="100" w:type="dxa"/>
              <w:right w:w="100" w:type="dxa"/>
            </w:tcMar>
          </w:tcPr>
          <w:p w14:paraId="5DBA86D6" w14:textId="77777777" w:rsidR="00BC5C1D" w:rsidRPr="00BC5C1D" w:rsidRDefault="00BC5C1D" w:rsidP="00BC5C1D">
            <w:pPr>
              <w:widowControl w:val="0"/>
              <w:pBdr>
                <w:top w:val="nil"/>
                <w:left w:val="nil"/>
                <w:bottom w:val="nil"/>
                <w:right w:val="nil"/>
                <w:between w:val="nil"/>
              </w:pBdr>
              <w:rPr>
                <w:bCs/>
                <w:sz w:val="20"/>
                <w:szCs w:val="20"/>
              </w:rPr>
            </w:pPr>
            <w:r w:rsidRPr="00BC5C1D">
              <w:rPr>
                <w:bCs/>
                <w:sz w:val="20"/>
                <w:szCs w:val="20"/>
              </w:rPr>
              <w:t>4.2 million</w:t>
            </w:r>
          </w:p>
          <w:p w14:paraId="7C8E5DC2" w14:textId="57D3ACD6" w:rsidR="00BC5C1D" w:rsidRPr="00BC5C1D" w:rsidRDefault="00BC5C1D" w:rsidP="00BC5C1D">
            <w:pPr>
              <w:widowControl w:val="0"/>
              <w:pBdr>
                <w:top w:val="nil"/>
                <w:left w:val="nil"/>
                <w:bottom w:val="nil"/>
                <w:right w:val="nil"/>
                <w:between w:val="nil"/>
              </w:pBdr>
              <w:rPr>
                <w:bCs/>
                <w:sz w:val="20"/>
                <w:szCs w:val="20"/>
              </w:rPr>
            </w:pPr>
            <w:r w:rsidRPr="00BC5C1D">
              <w:rPr>
                <w:bCs/>
                <w:sz w:val="20"/>
                <w:szCs w:val="20"/>
              </w:rPr>
              <w:t>(97% of eligible residents)</w:t>
            </w:r>
          </w:p>
        </w:tc>
        <w:tc>
          <w:tcPr>
            <w:tcW w:w="1440" w:type="dxa"/>
            <w:shd w:val="clear" w:color="auto" w:fill="auto"/>
            <w:tcMar>
              <w:top w:w="100" w:type="dxa"/>
              <w:left w:w="100" w:type="dxa"/>
              <w:bottom w:w="100" w:type="dxa"/>
              <w:right w:w="100" w:type="dxa"/>
            </w:tcMar>
          </w:tcPr>
          <w:p w14:paraId="7CAFE87D" w14:textId="6E9A7990" w:rsidR="00BC5C1D" w:rsidRPr="00C262E5" w:rsidRDefault="00BC5C1D" w:rsidP="00BC5C1D">
            <w:pPr>
              <w:widowControl w:val="0"/>
              <w:pBdr>
                <w:top w:val="nil"/>
                <w:left w:val="nil"/>
                <w:bottom w:val="nil"/>
                <w:right w:val="nil"/>
                <w:between w:val="nil"/>
              </w:pBdr>
              <w:rPr>
                <w:sz w:val="20"/>
                <w:szCs w:val="20"/>
              </w:rPr>
            </w:pPr>
            <w:r w:rsidRPr="00C262E5">
              <w:rPr>
                <w:sz w:val="20"/>
                <w:szCs w:val="20"/>
              </w:rPr>
              <w:t xml:space="preserve">2,000 services by over 700 government agencies and businesses </w:t>
            </w:r>
          </w:p>
        </w:tc>
        <w:tc>
          <w:tcPr>
            <w:tcW w:w="1440" w:type="dxa"/>
            <w:shd w:val="clear" w:color="auto" w:fill="auto"/>
            <w:tcMar>
              <w:top w:w="100" w:type="dxa"/>
              <w:left w:w="100" w:type="dxa"/>
              <w:bottom w:w="100" w:type="dxa"/>
              <w:right w:w="100" w:type="dxa"/>
            </w:tcMar>
          </w:tcPr>
          <w:p w14:paraId="0376FDEC" w14:textId="373671C3" w:rsidR="00BC5C1D" w:rsidRPr="00C262E5" w:rsidRDefault="00BC5C1D" w:rsidP="00BC5C1D">
            <w:pPr>
              <w:widowControl w:val="0"/>
              <w:pBdr>
                <w:top w:val="nil"/>
                <w:left w:val="nil"/>
                <w:bottom w:val="nil"/>
                <w:right w:val="nil"/>
                <w:between w:val="nil"/>
              </w:pBdr>
              <w:rPr>
                <w:sz w:val="20"/>
                <w:szCs w:val="20"/>
              </w:rPr>
            </w:pPr>
            <w:r w:rsidRPr="00C262E5">
              <w:rPr>
                <w:sz w:val="20"/>
                <w:szCs w:val="20"/>
              </w:rPr>
              <w:t>Yes</w:t>
            </w:r>
          </w:p>
        </w:tc>
        <w:tc>
          <w:tcPr>
            <w:tcW w:w="1530" w:type="dxa"/>
            <w:shd w:val="clear" w:color="auto" w:fill="auto"/>
            <w:tcMar>
              <w:top w:w="100" w:type="dxa"/>
              <w:left w:w="100" w:type="dxa"/>
              <w:bottom w:w="100" w:type="dxa"/>
              <w:right w:w="100" w:type="dxa"/>
            </w:tcMar>
          </w:tcPr>
          <w:p w14:paraId="06F7F99D" w14:textId="3EB727C6" w:rsidR="00BC5C1D" w:rsidRPr="00C262E5" w:rsidRDefault="00BC5C1D" w:rsidP="00BC5C1D">
            <w:pPr>
              <w:widowControl w:val="0"/>
              <w:pBdr>
                <w:top w:val="nil"/>
                <w:left w:val="nil"/>
                <w:bottom w:val="nil"/>
                <w:right w:val="nil"/>
                <w:between w:val="nil"/>
              </w:pBdr>
              <w:rPr>
                <w:sz w:val="20"/>
                <w:szCs w:val="20"/>
              </w:rPr>
            </w:pPr>
            <w:r w:rsidRPr="00C262E5">
              <w:rPr>
                <w:sz w:val="20"/>
                <w:szCs w:val="20"/>
              </w:rPr>
              <w:t>1500</w:t>
            </w:r>
          </w:p>
        </w:tc>
        <w:tc>
          <w:tcPr>
            <w:tcW w:w="2995" w:type="dxa"/>
            <w:shd w:val="clear" w:color="auto" w:fill="auto"/>
            <w:tcMar>
              <w:top w:w="100" w:type="dxa"/>
              <w:left w:w="100" w:type="dxa"/>
              <w:bottom w:w="100" w:type="dxa"/>
              <w:right w:w="100" w:type="dxa"/>
            </w:tcMar>
          </w:tcPr>
          <w:p w14:paraId="137D99EB" w14:textId="77777777" w:rsidR="00BC5C1D" w:rsidRPr="00C262E5" w:rsidRDefault="00BC5C1D" w:rsidP="00BC5C1D">
            <w:pPr>
              <w:widowControl w:val="0"/>
              <w:spacing w:after="240"/>
              <w:rPr>
                <w:sz w:val="20"/>
                <w:szCs w:val="20"/>
              </w:rPr>
            </w:pPr>
            <w:r w:rsidRPr="00C262E5">
              <w:rPr>
                <w:sz w:val="20"/>
                <w:szCs w:val="20"/>
              </w:rPr>
              <w:t>Singpass facial verification technology only collects the data that is needed for a specific purpose.</w:t>
            </w:r>
          </w:p>
          <w:p w14:paraId="54868EAF" w14:textId="77777777" w:rsidR="00BC5C1D" w:rsidRPr="00C262E5" w:rsidRDefault="00BC5C1D" w:rsidP="00BC5C1D">
            <w:pPr>
              <w:widowControl w:val="0"/>
              <w:spacing w:after="240"/>
              <w:rPr>
                <w:sz w:val="20"/>
                <w:szCs w:val="20"/>
              </w:rPr>
            </w:pPr>
            <w:r w:rsidRPr="00C262E5">
              <w:rPr>
                <w:sz w:val="20"/>
                <w:szCs w:val="20"/>
              </w:rPr>
              <w:t>The photo for facial recognition is retained on government servers for 30 days.</w:t>
            </w:r>
          </w:p>
          <w:p w14:paraId="722FBC52" w14:textId="491C9FE6" w:rsidR="00BC5C1D" w:rsidRPr="00C262E5" w:rsidRDefault="00BC5C1D" w:rsidP="00BC5C1D">
            <w:pPr>
              <w:widowControl w:val="0"/>
              <w:pBdr>
                <w:top w:val="nil"/>
                <w:left w:val="nil"/>
                <w:bottom w:val="nil"/>
                <w:right w:val="nil"/>
                <w:between w:val="nil"/>
              </w:pBdr>
              <w:rPr>
                <w:sz w:val="20"/>
                <w:szCs w:val="20"/>
              </w:rPr>
            </w:pPr>
            <w:r w:rsidRPr="00C262E5">
              <w:rPr>
                <w:sz w:val="20"/>
                <w:szCs w:val="20"/>
              </w:rPr>
              <w:t>Only provides a matching score when the facial image is verified against the government biometric database is shared with third-parties (i.e., private sector).</w:t>
            </w:r>
          </w:p>
        </w:tc>
      </w:tr>
      <w:tr w:rsidR="000A6003" w:rsidRPr="00BC5C1D" w14:paraId="4514337B" w14:textId="77777777" w:rsidTr="00BC5C1D">
        <w:tc>
          <w:tcPr>
            <w:tcW w:w="1340" w:type="dxa"/>
            <w:shd w:val="clear" w:color="auto" w:fill="auto"/>
            <w:tcMar>
              <w:top w:w="100" w:type="dxa"/>
              <w:left w:w="100" w:type="dxa"/>
              <w:bottom w:w="100" w:type="dxa"/>
              <w:right w:w="100" w:type="dxa"/>
            </w:tcMar>
          </w:tcPr>
          <w:p w14:paraId="3502E376" w14:textId="04D9C790" w:rsidR="000A6003" w:rsidRPr="00C262E5" w:rsidRDefault="009D0F65">
            <w:pPr>
              <w:widowControl w:val="0"/>
              <w:pBdr>
                <w:top w:val="nil"/>
                <w:left w:val="nil"/>
                <w:bottom w:val="nil"/>
                <w:right w:val="nil"/>
                <w:between w:val="nil"/>
              </w:pBdr>
              <w:rPr>
                <w:sz w:val="20"/>
                <w:szCs w:val="20"/>
              </w:rPr>
            </w:pPr>
            <w:r w:rsidRPr="00C262E5">
              <w:rPr>
                <w:sz w:val="20"/>
                <w:szCs w:val="20"/>
              </w:rPr>
              <w:t>U.S. stat</w:t>
            </w:r>
            <w:r w:rsidR="00BC5C1D">
              <w:rPr>
                <w:sz w:val="20"/>
                <w:szCs w:val="20"/>
              </w:rPr>
              <w:t>e</w:t>
            </w:r>
            <w:r w:rsidRPr="00C262E5">
              <w:rPr>
                <w:sz w:val="20"/>
                <w:szCs w:val="20"/>
              </w:rPr>
              <w:t>s</w:t>
            </w:r>
          </w:p>
        </w:tc>
        <w:tc>
          <w:tcPr>
            <w:tcW w:w="1080" w:type="dxa"/>
            <w:shd w:val="clear" w:color="auto" w:fill="auto"/>
            <w:tcMar>
              <w:top w:w="100" w:type="dxa"/>
              <w:left w:w="100" w:type="dxa"/>
              <w:bottom w:w="100" w:type="dxa"/>
              <w:right w:w="100" w:type="dxa"/>
            </w:tcMar>
          </w:tcPr>
          <w:p w14:paraId="4ADCEFD2"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unknown</w:t>
            </w:r>
          </w:p>
        </w:tc>
        <w:tc>
          <w:tcPr>
            <w:tcW w:w="1440" w:type="dxa"/>
            <w:shd w:val="clear" w:color="auto" w:fill="auto"/>
            <w:tcMar>
              <w:top w:w="100" w:type="dxa"/>
              <w:left w:w="100" w:type="dxa"/>
              <w:bottom w:w="100" w:type="dxa"/>
              <w:right w:w="100" w:type="dxa"/>
            </w:tcMar>
          </w:tcPr>
          <w:p w14:paraId="18E92FD8"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mobile driver’s licenses</w:t>
            </w:r>
          </w:p>
        </w:tc>
        <w:tc>
          <w:tcPr>
            <w:tcW w:w="1440" w:type="dxa"/>
            <w:shd w:val="clear" w:color="auto" w:fill="auto"/>
            <w:tcMar>
              <w:top w:w="100" w:type="dxa"/>
              <w:left w:w="100" w:type="dxa"/>
              <w:bottom w:w="100" w:type="dxa"/>
              <w:right w:w="100" w:type="dxa"/>
            </w:tcMar>
          </w:tcPr>
          <w:p w14:paraId="44DD422B"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Yes</w:t>
            </w:r>
          </w:p>
        </w:tc>
        <w:tc>
          <w:tcPr>
            <w:tcW w:w="1530" w:type="dxa"/>
            <w:shd w:val="clear" w:color="auto" w:fill="auto"/>
            <w:tcMar>
              <w:top w:w="100" w:type="dxa"/>
              <w:left w:w="100" w:type="dxa"/>
              <w:bottom w:w="100" w:type="dxa"/>
              <w:right w:w="100" w:type="dxa"/>
            </w:tcMar>
          </w:tcPr>
          <w:p w14:paraId="77403725"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n/a</w:t>
            </w:r>
          </w:p>
        </w:tc>
        <w:tc>
          <w:tcPr>
            <w:tcW w:w="2995" w:type="dxa"/>
            <w:shd w:val="clear" w:color="auto" w:fill="auto"/>
            <w:tcMar>
              <w:top w:w="100" w:type="dxa"/>
              <w:left w:w="100" w:type="dxa"/>
              <w:bottom w:w="100" w:type="dxa"/>
              <w:right w:w="100" w:type="dxa"/>
            </w:tcMar>
          </w:tcPr>
          <w:p w14:paraId="75908A3D" w14:textId="77777777" w:rsidR="000A6003" w:rsidRPr="00C262E5" w:rsidRDefault="009D0F65">
            <w:pPr>
              <w:widowControl w:val="0"/>
              <w:pBdr>
                <w:top w:val="nil"/>
                <w:left w:val="nil"/>
                <w:bottom w:val="nil"/>
                <w:right w:val="nil"/>
                <w:between w:val="nil"/>
              </w:pBdr>
              <w:rPr>
                <w:sz w:val="20"/>
                <w:szCs w:val="20"/>
              </w:rPr>
            </w:pPr>
            <w:r w:rsidRPr="00C262E5">
              <w:rPr>
                <w:sz w:val="20"/>
                <w:szCs w:val="20"/>
              </w:rPr>
              <w:t>Each state is approaching privacy differently; there is no consistent pattern at this time in the U.S.</w:t>
            </w:r>
          </w:p>
        </w:tc>
      </w:tr>
    </w:tbl>
    <w:p w14:paraId="3307D020" w14:textId="77777777" w:rsidR="000A6003" w:rsidRDefault="000A6003"/>
    <w:p w14:paraId="5E9E9F5A" w14:textId="4050367E" w:rsidR="000A6003" w:rsidRDefault="00BC5C1D" w:rsidP="00095237">
      <w:pPr>
        <w:spacing w:line="276" w:lineRule="auto"/>
      </w:pPr>
      <w:r>
        <w:br w:type="page"/>
      </w:r>
    </w:p>
    <w:p w14:paraId="1059BA37" w14:textId="77777777" w:rsidR="000A6003" w:rsidRDefault="009D0F65">
      <w:pPr>
        <w:pStyle w:val="Heading2"/>
      </w:pPr>
      <w:bookmarkStart w:id="145" w:name="_Toc134081061"/>
      <w:r>
        <w:lastRenderedPageBreak/>
        <w:t>Technological Diversity and Capability</w:t>
      </w:r>
      <w:bookmarkEnd w:id="145"/>
    </w:p>
    <w:p w14:paraId="5D497AD7" w14:textId="5FACF461" w:rsidR="000A6003" w:rsidRDefault="009D0F65">
      <w:r>
        <w:t xml:space="preserve">With regulation providing one level of protection for how governments and other entities may issue digital credentials and subsequently use that data, technology offers its own threats and opportunities for supporting the privacy of </w:t>
      </w:r>
      <w:r w:rsidR="004E4C4F">
        <w:t>individuals</w:t>
      </w:r>
      <w:r>
        <w:t xml:space="preserve"> and security for government-issued and managed data. One of the biggest challenges with technology is the consideration that technology itself is neutral; whether it is “good” or “bad” depends on how it is being used. Biometrics, for example, may enable secure and easy access to systems and services; it can also enable unethical tracking. Basic logging of transactions supports the security and accountability of a system; it can also be used to correlate a user’s activities on the web. And perhaps most critically, requiring consent allows the individual to make their own decisions; it is also often ignored by the individual in favor of immediate gratification.</w:t>
      </w:r>
      <w:r>
        <w:rPr>
          <w:vertAlign w:val="superscript"/>
        </w:rPr>
        <w:footnoteReference w:id="71"/>
      </w:r>
      <w:r>
        <w:t xml:space="preserve"> What is reasonable and appropriate in one situation may be harmful and unnecessary in another; technology cannot make that judgment call. Attempts to bridge that gap with consent banners results in a user experience that drives </w:t>
      </w:r>
      <w:r w:rsidR="00E715E0">
        <w:t>individuals</w:t>
      </w:r>
      <w:r>
        <w:t xml:space="preserve"> to ignore the messages.</w:t>
      </w:r>
    </w:p>
    <w:p w14:paraId="66FA600C" w14:textId="77777777" w:rsidR="000A6003" w:rsidRDefault="000A6003"/>
    <w:p w14:paraId="2E9B32AD" w14:textId="1619F8B2" w:rsidR="00316C60" w:rsidRDefault="009D0F65">
      <w:r>
        <w:t xml:space="preserve">Still, there may be more that technology can do to help bridge the gap between trusting regulatory control and building in privacy protections at the lowest layer possible. Governments rely on technology to support the promise of digital transformation while simultaneously protecting their </w:t>
      </w:r>
      <w:r w:rsidR="004E4C4F">
        <w:t>people</w:t>
      </w:r>
      <w:r>
        <w:t>, so considering what it can and cannot do is critical to understanding the full scale of what’s possible and where more work is needed</w:t>
      </w:r>
      <w:r w:rsidR="00C65BEF">
        <w:t>.</w:t>
      </w:r>
    </w:p>
    <w:p w14:paraId="041BF4C9" w14:textId="77777777" w:rsidR="000A6003" w:rsidRDefault="000A6003"/>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6003" w14:paraId="5E1996E7" w14:textId="77777777">
        <w:tc>
          <w:tcPr>
            <w:tcW w:w="9360" w:type="dxa"/>
            <w:shd w:val="clear" w:color="auto" w:fill="auto"/>
            <w:tcMar>
              <w:top w:w="100" w:type="dxa"/>
              <w:left w:w="100" w:type="dxa"/>
              <w:bottom w:w="100" w:type="dxa"/>
              <w:right w:w="100" w:type="dxa"/>
            </w:tcMar>
          </w:tcPr>
          <w:p w14:paraId="3F8A8615" w14:textId="77777777" w:rsidR="000A6003" w:rsidRDefault="009D0F65">
            <w:pPr>
              <w:widowControl w:val="0"/>
              <w:rPr>
                <w:b/>
              </w:rPr>
            </w:pPr>
            <w:r>
              <w:rPr>
                <w:b/>
              </w:rPr>
              <w:t>Privacy Considerations for Internet Protocols (RFC 6973)</w:t>
            </w:r>
          </w:p>
          <w:p w14:paraId="40469CE9" w14:textId="77777777" w:rsidR="000A6003" w:rsidRDefault="000A6003">
            <w:pPr>
              <w:widowControl w:val="0"/>
            </w:pPr>
          </w:p>
          <w:p w14:paraId="6FFE62D8" w14:textId="77777777" w:rsidR="000A6003" w:rsidRDefault="009D0F65">
            <w:pPr>
              <w:widowControl w:val="0"/>
            </w:pPr>
            <w:r>
              <w:t>In 2013, the Internet Engineering Task Force (IETF), the home of so many Internet standards and best practices, developed guidance on when and how to write a privacy considerations section for any RFC where user privacy is potentially impacted. Ultimately, this RFC “aims to make designers, implementers, and users of Internet protocols aware of privacy-related design choices.“</w:t>
            </w:r>
          </w:p>
          <w:p w14:paraId="0D22EE42" w14:textId="77777777" w:rsidR="000A6003" w:rsidRDefault="000A6003">
            <w:pPr>
              <w:widowControl w:val="0"/>
            </w:pPr>
          </w:p>
          <w:p w14:paraId="101B2223" w14:textId="77777777" w:rsidR="000A6003" w:rsidRDefault="009D0F65">
            <w:pPr>
              <w:widowControl w:val="0"/>
            </w:pPr>
            <w:r>
              <w:t>Since its publication, 101 RFCs (out of nearly 2500 published since RFC 6973) have included an explicit privacy considerations section. In addition, seven RFCs (one being an update of another in that list) are exclusively about the privacy considerations for a specific protocol (see “DNS Privacy Considerations” (RFCs 7626 and 9076), “Security and Privacy Considerations for IPv6 Address Generation Mechanisms” (RFC 7721), “Privacy Considerations for DHCP” (RFC 7819), “Privacy Considerations for DHCPv6” (RFC 7824), “Privacy Considerations for IPv6 Adaptation-Layer Mechanisms” (RFC 8065), and “Privacy Considerations for Protocols Relying on IP Broadcast or Multicast” (RFC 8386).</w:t>
            </w:r>
          </w:p>
          <w:p w14:paraId="7BF9491D" w14:textId="77777777" w:rsidR="000A6003" w:rsidRDefault="000A6003">
            <w:pPr>
              <w:widowControl w:val="0"/>
            </w:pPr>
          </w:p>
          <w:p w14:paraId="2576EAC7" w14:textId="77777777" w:rsidR="000A6003" w:rsidRDefault="009D0F65">
            <w:pPr>
              <w:widowControl w:val="0"/>
            </w:pPr>
            <w:r>
              <w:t xml:space="preserve">Standardized guidance of this type is a useful component to encourage specification authors to think more broadly about the technology they are defining. This guidance has been used by other standards organizations as well, including the OpenID Foundation and OASIS. It is not, however, required or consistently used, nor are the specification authors always the best individuals to understand and document the privacy implications of their specifications. </w:t>
            </w:r>
          </w:p>
        </w:tc>
      </w:tr>
    </w:tbl>
    <w:p w14:paraId="16BF081E" w14:textId="77777777" w:rsidR="000A6003" w:rsidRDefault="000A6003"/>
    <w:p w14:paraId="39A72577" w14:textId="5E731DDC" w:rsidR="000A6003" w:rsidRDefault="009D0F65">
      <w:pPr>
        <w:pStyle w:val="Heading3"/>
      </w:pPr>
      <w:bookmarkStart w:id="146" w:name="_Toc134081062"/>
      <w:r>
        <w:t xml:space="preserve">The Technology Behind </w:t>
      </w:r>
      <w:r w:rsidR="00072C82">
        <w:t xml:space="preserve">Digital </w:t>
      </w:r>
      <w:r>
        <w:t>Credentials</w:t>
      </w:r>
      <w:bookmarkEnd w:id="146"/>
    </w:p>
    <w:p w14:paraId="46D65A11" w14:textId="76148220" w:rsidR="000A6003" w:rsidRDefault="009D0F65">
      <w:r>
        <w:t xml:space="preserve">Enabling and enhancing individual privacy as part of the issuance and use of government-issued digital credentials requires laws and technology to work together. This section reviews the most common technologies </w:t>
      </w:r>
      <w:r w:rsidR="00E1388B">
        <w:t>either in use or under consideration</w:t>
      </w:r>
      <w:r>
        <w:t xml:space="preserve"> </w:t>
      </w:r>
      <w:r w:rsidR="00E1388B">
        <w:t>for</w:t>
      </w:r>
      <w:r>
        <w:t xml:space="preserve"> these credentials today.</w:t>
      </w:r>
    </w:p>
    <w:p w14:paraId="284A1D7D" w14:textId="77777777" w:rsidR="000A6003" w:rsidRDefault="009D0F65">
      <w:pPr>
        <w:pStyle w:val="Heading4"/>
      </w:pPr>
      <w:r>
        <w:t>Digital Wallets</w:t>
      </w:r>
    </w:p>
    <w:p w14:paraId="736FE89E" w14:textId="3CE20E08" w:rsidR="00F63552" w:rsidRDefault="00F63552" w:rsidP="00F63552">
      <w:r>
        <w:t xml:space="preserve">At its most simple, a digital wallet is an application on a device that stores digital credentials. Individuals with smartphones are becoming familiar with them as they store transit cards, airline boarding passes, loyalty cards, and more. The requirements for identity wallets, however, are more robust than for the other use cases. Identity wallets are intended to help an individual select what personal data they wish to present to the requesting service, including their consent for the transaction using whatever protocol the service and wallet jointly support. Since wallets aim at hosting various credentials and address multiple use cases, the need to support multiple </w:t>
      </w:r>
      <w:r w:rsidR="00FC115B">
        <w:t>formats</w:t>
      </w:r>
      <w:r>
        <w:t xml:space="preserve"> of credentials is increasing, along with the need to present your attributes in a connected or unconnected manner. </w:t>
      </w:r>
    </w:p>
    <w:p w14:paraId="273BE8DD" w14:textId="77777777" w:rsidR="00F63552" w:rsidRDefault="00F63552" w:rsidP="00F63552"/>
    <w:p w14:paraId="40613CAE" w14:textId="0BD1017C" w:rsidR="00F63552" w:rsidRPr="00095237" w:rsidRDefault="00F63552" w:rsidP="000778E6">
      <w:pPr>
        <w:rPr>
          <w:b/>
          <w:bCs/>
        </w:rPr>
      </w:pPr>
      <w:r>
        <w:t>The exact details of how digital identity wallets secured are not specified in any standard at the time of publication for this paper. However</w:t>
      </w:r>
      <w:r w:rsidR="000778E6">
        <w:t>,</w:t>
      </w:r>
      <w:r>
        <w:t xml:space="preserve"> the ISO </w:t>
      </w:r>
      <w:r w:rsidR="000778E6">
        <w:t xml:space="preserve">community </w:t>
      </w:r>
      <w:r>
        <w:t xml:space="preserve">is working on the ISO 23220 </w:t>
      </w:r>
      <w:r w:rsidR="000778E6" w:rsidRPr="000778E6">
        <w:t>(</w:t>
      </w:r>
      <w:r w:rsidR="000778E6" w:rsidRPr="00095237">
        <w:t>Cards and security devices for personal identification — Building blocks for identity management via mobile devices)</w:t>
      </w:r>
      <w:r w:rsidR="000778E6">
        <w:rPr>
          <w:b/>
          <w:bCs/>
        </w:rPr>
        <w:t xml:space="preserve"> </w:t>
      </w:r>
      <w:r>
        <w:t>series which intends to define some foundational on issuance, trust</w:t>
      </w:r>
      <w:r w:rsidR="00FC115B">
        <w:t>,</w:t>
      </w:r>
      <w:r>
        <w:t xml:space="preserve"> and provisioning.</w:t>
      </w:r>
      <w:r w:rsidR="000778E6">
        <w:rPr>
          <w:rStyle w:val="FootnoteReference"/>
        </w:rPr>
        <w:footnoteReference w:id="72"/>
      </w:r>
      <w:r>
        <w:t xml:space="preserve"> Standardization of wallets is implied by the need for the wallet to support common patterns such as issuance and presentation for the credentials they contain. </w:t>
      </w:r>
    </w:p>
    <w:p w14:paraId="6D61A33E" w14:textId="77777777" w:rsidR="00F63552" w:rsidRDefault="00F63552" w:rsidP="00F63552"/>
    <w:p w14:paraId="55C07F07" w14:textId="4A8836DF" w:rsidR="00F63552" w:rsidRDefault="00F63552" w:rsidP="00F63552">
      <w:r>
        <w:t xml:space="preserve">Wallet development is happening in both the public and private sectors. As mentioned earlier in this paper, eIDAS 2.0 is </w:t>
      </w:r>
      <w:r w:rsidR="00464FC8">
        <w:t>attempting to bring</w:t>
      </w:r>
      <w:r>
        <w:t xml:space="preserve"> a European Digital Identity Wallet to all member states with the first pilots in 2023/2024. To address all needs, the EU regulators </w:t>
      </w:r>
      <w:r>
        <w:lastRenderedPageBreak/>
        <w:t xml:space="preserve">are designing the EU Digital ID Wallet to support multiple </w:t>
      </w:r>
      <w:r w:rsidR="00FC115B">
        <w:t>formats</w:t>
      </w:r>
      <w:r>
        <w:t xml:space="preserve"> of credentials which will be based on different standards to support a wide range of use cases.</w:t>
      </w:r>
    </w:p>
    <w:p w14:paraId="54D612F9" w14:textId="77777777" w:rsidR="00F63552" w:rsidRDefault="00F63552" w:rsidP="00F63552"/>
    <w:p w14:paraId="33A2B5B9" w14:textId="77777777" w:rsidR="00F63552" w:rsidRDefault="00F63552" w:rsidP="00F63552">
      <w:r>
        <w:t>The Open Wallet Foundation, announced by the Linux Foundation in September 2022 and launched in February 2023, is focused on “best practices for digital wallet technology through collaboration on standards-based OSS components that issuers, wallet providers and relying parties can use to bootstrap implementations that preserve user choice, security and privacy.”</w:t>
      </w:r>
      <w:r>
        <w:rPr>
          <w:vertAlign w:val="superscript"/>
        </w:rPr>
        <w:footnoteReference w:id="73"/>
      </w:r>
      <w:r>
        <w:t xml:space="preserve"> </w:t>
      </w:r>
    </w:p>
    <w:p w14:paraId="0F7834E2" w14:textId="77777777" w:rsidR="000A6003" w:rsidRDefault="009D0F65">
      <w:pPr>
        <w:pStyle w:val="Heading4"/>
      </w:pPr>
      <w:r>
        <w:t>SAML2</w:t>
      </w:r>
    </w:p>
    <w:p w14:paraId="11916BEA" w14:textId="6314689C" w:rsidR="000A6003" w:rsidRDefault="00337BA3">
      <w:r>
        <w:t xml:space="preserve">The Security Assertion Markup Language (SAML) standard, </w:t>
      </w:r>
      <w:r w:rsidR="0079257E">
        <w:t>initially published by OASIS in 2001 and a major revision (SAML2) published in 2005</w:t>
      </w:r>
      <w:r>
        <w:t>, is a standard for transferring authentication and authorization data between an identity provider (IdP) and a service provider (SP).</w:t>
      </w:r>
      <w:r w:rsidR="0079257E">
        <w:rPr>
          <w:rStyle w:val="FootnoteReference"/>
        </w:rPr>
        <w:footnoteReference w:id="74"/>
      </w:r>
      <w:r w:rsidR="0079257E">
        <w:t xml:space="preserve"> This protocol was</w:t>
      </w:r>
      <w:r w:rsidR="0079257E" w:rsidRPr="0079257E">
        <w:t xml:space="preserve"> designed to achieve cross</w:t>
      </w:r>
      <w:r w:rsidR="0079257E">
        <w:t>-</w:t>
      </w:r>
      <w:r w:rsidR="0079257E" w:rsidRPr="0079257E">
        <w:t xml:space="preserve">domain </w:t>
      </w:r>
      <w:r w:rsidR="0079257E">
        <w:t>single sign-on (SSO)</w:t>
      </w:r>
      <w:r w:rsidR="0079257E" w:rsidRPr="0079257E">
        <w:t xml:space="preserve"> </w:t>
      </w:r>
      <w:r w:rsidR="0079257E">
        <w:t>in a</w:t>
      </w:r>
      <w:r w:rsidR="0079257E" w:rsidRPr="0079257E">
        <w:t xml:space="preserve"> browser</w:t>
      </w:r>
      <w:r w:rsidR="0079257E">
        <w:t>. SAML2 is still in widespread use today in several sectors including education and government. Active development, however, ceased around 2012.</w:t>
      </w:r>
      <w:r w:rsidR="0079257E" w:rsidRPr="0079257E">
        <w:t xml:space="preserve"> </w:t>
      </w:r>
    </w:p>
    <w:p w14:paraId="12E5B120" w14:textId="77777777" w:rsidR="000A6003" w:rsidRDefault="000A6003"/>
    <w:p w14:paraId="10C8C62F" w14:textId="77777777" w:rsidR="000A6003" w:rsidRDefault="009D0F65">
      <w:r>
        <w:t>From the SAML 2.0 specification:</w:t>
      </w:r>
    </w:p>
    <w:p w14:paraId="0167BD57" w14:textId="77777777" w:rsidR="000A6003" w:rsidRDefault="009D0F65" w:rsidP="0079257E">
      <w:pPr>
        <w:pStyle w:val="Quote"/>
        <w:jc w:val="left"/>
      </w:pPr>
      <w:r>
        <w:t>4.5 Privacy in SAML</w:t>
      </w:r>
    </w:p>
    <w:p w14:paraId="03D751EE" w14:textId="77777777" w:rsidR="000A6003" w:rsidRDefault="009D0F65" w:rsidP="0079257E">
      <w:pPr>
        <w:pStyle w:val="Quote"/>
        <w:jc w:val="left"/>
      </w:pPr>
      <w:r>
        <w:t>In an information technology context, privacy generally refers to both a user's ability to control how their identity data is shared and used, and to mechanisms that inhibit their actions at multiple service providers from being inappropriately correlated.</w:t>
      </w:r>
    </w:p>
    <w:p w14:paraId="766EC816" w14:textId="77777777" w:rsidR="000A6003" w:rsidRDefault="009D0F65" w:rsidP="0079257E">
      <w:pPr>
        <w:pStyle w:val="Quote"/>
        <w:jc w:val="left"/>
      </w:pPr>
      <w:r>
        <w:t>SAML is often deployed in scenarios where such privacy requirements must be accounted for (as it is also often deployed in scenarios where such privacy need not be explicitly addressed, the assumption being that appropriate protections are enabled through other means and/or layers).</w:t>
      </w:r>
    </w:p>
    <w:p w14:paraId="12FEFB46" w14:textId="77777777" w:rsidR="000A6003" w:rsidRDefault="009D0F65" w:rsidP="0079257E">
      <w:pPr>
        <w:pStyle w:val="Quote"/>
        <w:jc w:val="left"/>
      </w:pPr>
      <w:r>
        <w:t>SAML has a number of mechanisms that support deployment in privacy.</w:t>
      </w:r>
    </w:p>
    <w:p w14:paraId="5AFA69A5" w14:textId="06E34E84" w:rsidR="000A6003" w:rsidRDefault="009D0F65" w:rsidP="0079257E">
      <w:pPr>
        <w:pStyle w:val="Quote"/>
        <w:numPr>
          <w:ilvl w:val="0"/>
          <w:numId w:val="10"/>
        </w:numPr>
        <w:jc w:val="left"/>
      </w:pPr>
      <w:r>
        <w:t>SAML supports the establishment of pseudonyms established between an identity provider and a service provider</w:t>
      </w:r>
      <w:r w:rsidR="003B34DD">
        <w:t xml:space="preserve">. </w:t>
      </w:r>
      <w:r>
        <w:t>Such pseudonyms do not themselves enable inappropriate correlation between service providers (as would be possible if the identity provider asserted the same identifier for a user to every service provider, a so-called global identifier)</w:t>
      </w:r>
    </w:p>
    <w:p w14:paraId="53B3C824" w14:textId="66ADE1A6" w:rsidR="000A6003" w:rsidRDefault="009D0F65" w:rsidP="0079257E">
      <w:pPr>
        <w:pStyle w:val="Quote"/>
        <w:numPr>
          <w:ilvl w:val="0"/>
          <w:numId w:val="10"/>
        </w:numPr>
        <w:jc w:val="left"/>
      </w:pPr>
      <w:r>
        <w:lastRenderedPageBreak/>
        <w:t>SAML supports one-time or transient identifiers – such identifiers ensure that every time a certain user accesses a given service provider through a single sign-on operation from an identity provider, that service provider will be unable to recognize them as the same individual as might have previously visited (based solely on the identifier, correlation may be possible through non-SAML handles).</w:t>
      </w:r>
    </w:p>
    <w:p w14:paraId="3311E7D1" w14:textId="77777777" w:rsidR="000A6003" w:rsidRDefault="009D0F65" w:rsidP="0079257E">
      <w:pPr>
        <w:pStyle w:val="Quote"/>
        <w:numPr>
          <w:ilvl w:val="0"/>
          <w:numId w:val="10"/>
        </w:numPr>
        <w:jc w:val="left"/>
      </w:pPr>
      <w:r>
        <w:t>SAML's Authentication Context mechanisms allow a user to be authenticated at a sufficient (but not more than necessary) assurance level, appropriate to the resource they may be attempting to access at some service provider.</w:t>
      </w:r>
    </w:p>
    <w:p w14:paraId="50F7157E" w14:textId="77777777" w:rsidR="000A6003" w:rsidRDefault="009D0F65" w:rsidP="0079257E">
      <w:pPr>
        <w:pStyle w:val="Quote"/>
        <w:numPr>
          <w:ilvl w:val="0"/>
          <w:numId w:val="10"/>
        </w:numPr>
        <w:jc w:val="left"/>
      </w:pPr>
      <w:r>
        <w:t>SAML allows the claimed fact of a user consenting to certain operations (e.g. the act of federation) to be expressed between providers. How, when or where such consent is obtained is out of scope for SAML.</w:t>
      </w:r>
    </w:p>
    <w:p w14:paraId="71F6222A" w14:textId="77777777" w:rsidR="00061D29" w:rsidRDefault="00061D29" w:rsidP="00061D29"/>
    <w:p w14:paraId="5DF96D79" w14:textId="7315FDC9" w:rsidR="00061D29" w:rsidRPr="00061D29" w:rsidRDefault="00061D29" w:rsidP="00061D29">
      <w:r>
        <w:t xml:space="preserve">While still used throughout the world, SAML2 is not without significant limitations. For example, given that SAML is expressed using the </w:t>
      </w:r>
      <w:proofErr w:type="spellStart"/>
      <w:r>
        <w:t>eXtensible</w:t>
      </w:r>
      <w:proofErr w:type="spellEnd"/>
      <w:r>
        <w:t xml:space="preserve"> Markup Language (XML), mobile platforms often cannot support it, as XML parsers were not built into mobile platforms. And, given that user consent must be handled entirely outside the protocol</w:t>
      </w:r>
      <w:r w:rsidR="00BB5CA5">
        <w:t>,</w:t>
      </w:r>
      <w:r>
        <w:t xml:space="preserve"> SAML </w:t>
      </w:r>
      <w:r w:rsidR="00BB5CA5">
        <w:t xml:space="preserve">is </w:t>
      </w:r>
      <w:r>
        <w:t xml:space="preserve">not a perfect fit in a mobile context. </w:t>
      </w:r>
      <w:r w:rsidR="00BB5CA5">
        <w:t xml:space="preserve">Cross-border validation via SAML is also challenging given the lack of standardization around the attributes, formats, and underlying policy requirements. </w:t>
      </w:r>
      <w:r>
        <w:t>SAML2, when used carefully and in conjunction with other mechanisms (such as a consent manager) and with a full understanding of its complexity, can be used in a privacy-preserving online environment, but it is not simple.</w:t>
      </w:r>
    </w:p>
    <w:p w14:paraId="32005113" w14:textId="77777777" w:rsidR="000A6003" w:rsidRDefault="009D0F65">
      <w:pPr>
        <w:pStyle w:val="Heading4"/>
      </w:pPr>
      <w:r>
        <w:t>OAuth2</w:t>
      </w:r>
    </w:p>
    <w:p w14:paraId="5133189F" w14:textId="77777777" w:rsidR="000A6003" w:rsidRDefault="009D0F65">
      <w:r>
        <w:t xml:space="preserve">The Internet Engineering Task Force (IETF) develops Internet technical standards at every layer of the network stack, from transporting bits across a network to application-level interoperability. In the realm of authentication and authorization, their standards provide direction beyond just the application layer. That said, in the digital credential space, their most influential standards for application-level authentication and authorization are in the OAuth group of documents. </w:t>
      </w:r>
    </w:p>
    <w:p w14:paraId="304479FC" w14:textId="77777777" w:rsidR="000A6003" w:rsidRDefault="000A6003"/>
    <w:p w14:paraId="4E087371" w14:textId="34936C2D" w:rsidR="000A6003" w:rsidRDefault="009D0F65">
      <w:r>
        <w:t>While mapping the relationships of OAuth specifications is out of scope for this document, understanding how they impact government-issued digital credentials and the overall impact they have on privacy is in scope.</w:t>
      </w:r>
    </w:p>
    <w:p w14:paraId="3541870D" w14:textId="77777777" w:rsidR="000A6003" w:rsidRDefault="000A6003"/>
    <w:p w14:paraId="0284BBC5" w14:textId="654530D7" w:rsidR="00D958B2" w:rsidRDefault="009D0F65">
      <w:r>
        <w:t>The OAuth 2.0 specifications define how clients, such as applications on mobile devices, secure access to the user resources on a service provider (e.g., a government agency’s service portal)</w:t>
      </w:r>
      <w:r w:rsidR="003B34DD">
        <w:t xml:space="preserve">. </w:t>
      </w:r>
      <w:r w:rsidR="00BC001A">
        <w:t xml:space="preserve">While OAuth 2.0 does not deal with identity directly, it does provide powerful building blocks for the implementation of digital identity actions. </w:t>
      </w:r>
      <w:r w:rsidR="003D75D4">
        <w:t xml:space="preserve">The delegated </w:t>
      </w:r>
      <w:r w:rsidR="003D75D4">
        <w:lastRenderedPageBreak/>
        <w:t>authorization framework and</w:t>
      </w:r>
      <w:r w:rsidR="00D958B2">
        <w:t xml:space="preserve"> API at the core of the OAuth specifications are critical to supporting authentication and authorization on mobile devices.</w:t>
      </w:r>
    </w:p>
    <w:p w14:paraId="382FE18E" w14:textId="77777777" w:rsidR="00D958B2" w:rsidRDefault="00D958B2"/>
    <w:p w14:paraId="24CE47C8" w14:textId="4A1C16FB" w:rsidR="00D958B2" w:rsidRPr="00D958B2" w:rsidRDefault="00C5772E" w:rsidP="00D958B2">
      <w:pPr>
        <w:pStyle w:val="Quote"/>
        <w:jc w:val="left"/>
      </w:pPr>
      <w:r>
        <w:t>“</w:t>
      </w:r>
      <w:r w:rsidR="00D958B2">
        <w:t>SAML was not a perfect fit in a mobile context. XML parsers were not built into mobile platforms, and cryptographic requirements were heavy. The resulting access management paradigm was OAuth 1.0, a “delegated authorization framework” that could layer with federated protocols. OAuth addresses the ‘user not present’ scenario: applications ask for and receive an “access token” that does not introduce the user; instead, access tokens represent the ability to access a tightly scoped set data and services on behalf of a user.</w:t>
      </w:r>
      <w:r>
        <w:t>”</w:t>
      </w:r>
      <w:r w:rsidR="00D958B2">
        <w:t xml:space="preserve"> – Pamela Dingle, </w:t>
      </w:r>
      <w:r w:rsidR="00D958B2" w:rsidRPr="00D958B2">
        <w:t>Introduction to Identity - Part 2: Access Management</w:t>
      </w:r>
      <w:r w:rsidR="00D958B2">
        <w:rPr>
          <w:rStyle w:val="FootnoteReference"/>
        </w:rPr>
        <w:footnoteReference w:id="75"/>
      </w:r>
    </w:p>
    <w:p w14:paraId="5B93FEFC" w14:textId="77777777" w:rsidR="00D958B2" w:rsidRDefault="00D958B2"/>
    <w:p w14:paraId="2DE6BEC3" w14:textId="1FECD429" w:rsidR="000A6003" w:rsidRDefault="00D958B2">
      <w:r>
        <w:t xml:space="preserve"> The specification family for OAuth 2.0 is well-developed but not static. Individuals continue to propose and standardize new features or offer improvements to existing ones via the OAuth working group within the IETF.</w:t>
      </w:r>
      <w:r>
        <w:rPr>
          <w:vertAlign w:val="superscript"/>
        </w:rPr>
        <w:footnoteReference w:id="76"/>
      </w:r>
      <w:r>
        <w:t xml:space="preserve"> </w:t>
      </w:r>
    </w:p>
    <w:p w14:paraId="08310BCC" w14:textId="77777777" w:rsidR="000A6003" w:rsidRDefault="000A6003"/>
    <w:p w14:paraId="5C9E3320" w14:textId="77777777" w:rsidR="000A6003" w:rsidRDefault="009D0F65">
      <w:r>
        <w:t>For individuals implementing OAuth2, perhaps the biggest challenge is understanding how all the different specifications relate to each other, and which should be used in a given situation. Developers may implement only parts of the specification, missing elements such as token signatures for security or the correct use of JSON Web Tokens (JWT) for more efficient requests for user information. There are no certification mechanisms for OAuth2 compliance, and while guidance exists on the web, knowing what rules to follow is always a challenge.</w:t>
      </w:r>
    </w:p>
    <w:p w14:paraId="3C1C3E4C" w14:textId="77777777" w:rsidR="000A6003" w:rsidRDefault="000A6003"/>
    <w:p w14:paraId="5A06C349" w14:textId="047597B2" w:rsidR="000A6003" w:rsidRDefault="009D0F65">
      <w:r>
        <w:t>While technically an authorization protocol rather than an authentication protocol, OAuth2 is tightly enough coupled to authentication that many developers confuse the scope of OAuth2 to include authentication.</w:t>
      </w:r>
      <w:r>
        <w:rPr>
          <w:vertAlign w:val="superscript"/>
        </w:rPr>
        <w:footnoteReference w:id="77"/>
      </w:r>
      <w:r>
        <w:t xml:space="preserve"> For an actual authentication protocol, one should look to the OpenID Connect (OIDC) set of specifications. </w:t>
      </w:r>
    </w:p>
    <w:p w14:paraId="507EA22F" w14:textId="77777777" w:rsidR="000A6003" w:rsidRDefault="009D0F65">
      <w:pPr>
        <w:pStyle w:val="Heading4"/>
      </w:pPr>
      <w:r>
        <w:t>OpenID Connect</w:t>
      </w:r>
    </w:p>
    <w:p w14:paraId="2520B6AC" w14:textId="2DB5F69D" w:rsidR="000A6003" w:rsidRDefault="009D0F65">
      <w:r>
        <w:t>The OIDC set of specifications is developed and maintained within the OpenID Foundation.</w:t>
      </w:r>
      <w:r>
        <w:rPr>
          <w:vertAlign w:val="superscript"/>
        </w:rPr>
        <w:footnoteReference w:id="78"/>
      </w:r>
      <w:r>
        <w:t xml:space="preserve"> The OpenID Foundation publishes technical specifications, profiles, </w:t>
      </w:r>
      <w:r w:rsidR="003D5638">
        <w:t>and</w:t>
      </w:r>
      <w:r w:rsidR="00245AF0">
        <w:t xml:space="preserve"> </w:t>
      </w:r>
      <w:r w:rsidR="003D5638">
        <w:t xml:space="preserve">white papers, </w:t>
      </w:r>
      <w:r>
        <w:t xml:space="preserve">as well as offering certification services to publicly verify compliant implementations. </w:t>
      </w:r>
    </w:p>
    <w:p w14:paraId="730CB6E7" w14:textId="77777777" w:rsidR="000A6003" w:rsidRDefault="000A6003"/>
    <w:p w14:paraId="49D1B4A1" w14:textId="22B6E253" w:rsidR="000A6003" w:rsidRDefault="009D0F65">
      <w:r>
        <w:lastRenderedPageBreak/>
        <w:t xml:space="preserve">The foundational OIDC specification, OIDC Core, ”defines the core OpenID Connect functionality: authentication built on top of OAuth 2.0 and the use of Claims </w:t>
      </w:r>
      <w:r w:rsidR="00E46DAE">
        <w:t>[</w:t>
      </w:r>
      <w:r w:rsidR="0072506F">
        <w:t>a p</w:t>
      </w:r>
      <w:r w:rsidR="00E46DAE">
        <w:t xml:space="preserve">iece of information asserted about an Entity] </w:t>
      </w:r>
      <w:r>
        <w:t>to communicate information about the End-User. It also describes the security and privacy considerations for using OpenID Connect.”</w:t>
      </w:r>
      <w:r>
        <w:rPr>
          <w:vertAlign w:val="superscript"/>
        </w:rPr>
        <w:footnoteReference w:id="79"/>
      </w:r>
      <w:r>
        <w:t xml:space="preserve"> Work is underway </w:t>
      </w:r>
      <w:r w:rsidR="00E46DAE">
        <w:t xml:space="preserve">within the OpenID Connect Working group </w:t>
      </w:r>
      <w:r>
        <w:t xml:space="preserve">to further define the use of OIDC with verifiable </w:t>
      </w:r>
      <w:r w:rsidR="00245AF0">
        <w:t>credentials</w:t>
      </w:r>
      <w:r>
        <w:t xml:space="preserve"> and self-issued OpenID providers.</w:t>
      </w:r>
      <w:r w:rsidR="00E46DAE">
        <w:rPr>
          <w:rStyle w:val="FootnoteReference"/>
        </w:rPr>
        <w:footnoteReference w:id="80"/>
      </w:r>
      <w:r>
        <w:t xml:space="preserve"> This positions the specification to support efforts around digital wallets and </w:t>
      </w:r>
      <w:r w:rsidR="008C10BD">
        <w:t>direct control by individuals for their own data</w:t>
      </w:r>
      <w:r>
        <w:t>.</w:t>
      </w:r>
    </w:p>
    <w:p w14:paraId="0D0B4FF2" w14:textId="77777777" w:rsidR="000A6003" w:rsidRDefault="000A6003"/>
    <w:p w14:paraId="484235D2" w14:textId="5D154D10" w:rsidR="000A6003" w:rsidRDefault="009D0F65">
      <w:r>
        <w:t xml:space="preserve">Going beyond the OIDC specifications, the OpenID Foundation includes profiles that constrain the general specification for appropriate use in specific industries. From the Financial-grade API (API) for the finance industry to Health Relationship Trust (HEART) profiles for the healthcare industry, these profiles describe what aspects of OIDC are appropriate for these use cases. As with all profiles, their guidance can only limit what is in the original specification; </w:t>
      </w:r>
      <w:r w:rsidR="00F10B25">
        <w:t xml:space="preserve">profiles may </w:t>
      </w:r>
      <w:r>
        <w:t xml:space="preserve">not add new, conflicting requirements. </w:t>
      </w:r>
    </w:p>
    <w:p w14:paraId="2F178C50" w14:textId="77777777" w:rsidR="000A6003" w:rsidRDefault="009D0F65">
      <w:pPr>
        <w:pStyle w:val="Heading4"/>
      </w:pPr>
      <w:r>
        <w:t>Verifiable Credentials</w:t>
      </w:r>
    </w:p>
    <w:p w14:paraId="22A65409" w14:textId="2F581D07" w:rsidR="008C10BD" w:rsidRDefault="008C10BD" w:rsidP="008C10BD">
      <w:r>
        <w:t>The concept of a verifiable credential, which at its most basic is a digital credential that can be verified in some manner, is widespread. Whether governments and organizations are specifically referring to W3C Verifiable Credentials (VCs) or some other, potentially proprietary, form of verifiable credential requires research into each implementation.</w:t>
      </w:r>
    </w:p>
    <w:p w14:paraId="3810C20D" w14:textId="77777777" w:rsidR="008C10BD" w:rsidRDefault="008C10BD" w:rsidP="008C10BD"/>
    <w:p w14:paraId="796EE282" w14:textId="616B1409" w:rsidR="008C10BD" w:rsidRDefault="008C10BD">
      <w:r>
        <w:t>Focusing on VCs as standardized within the World Wide Web Consortium (W3C), VCs were designed with government-issued digital credentials as one of the driving use cases.</w:t>
      </w:r>
      <w:r>
        <w:rPr>
          <w:vertAlign w:val="superscript"/>
        </w:rPr>
        <w:footnoteReference w:id="81"/>
      </w:r>
      <w:r>
        <w:t xml:space="preserve"> As per the specification’s </w:t>
      </w:r>
      <w:r w:rsidR="0001766C">
        <w:t>terminology</w:t>
      </w:r>
      <w:r>
        <w:t>, “</w:t>
      </w:r>
      <w:r w:rsidR="0001766C" w:rsidRPr="0001766C">
        <w:t xml:space="preserve">A </w:t>
      </w:r>
      <w:hyperlink r:id="rId22" w:anchor="dfn-verifiable-credentials" w:history="1">
        <w:r w:rsidR="0001766C" w:rsidRPr="0001766C">
          <w:rPr>
            <w:rStyle w:val="Hyperlink"/>
          </w:rPr>
          <w:t>verifiable credential</w:t>
        </w:r>
      </w:hyperlink>
      <w:r w:rsidR="0001766C" w:rsidRPr="0001766C">
        <w:t xml:space="preserve"> is a set of tamper-evident </w:t>
      </w:r>
      <w:hyperlink r:id="rId23" w:anchor="dfn-claims" w:history="1">
        <w:r w:rsidR="0001766C" w:rsidRPr="0001766C">
          <w:rPr>
            <w:rStyle w:val="Hyperlink"/>
          </w:rPr>
          <w:t>claims</w:t>
        </w:r>
      </w:hyperlink>
      <w:r w:rsidR="0001766C" w:rsidRPr="0001766C">
        <w:t xml:space="preserve"> and metadata that cryptographically prove who issued it</w:t>
      </w:r>
      <w:r>
        <w:t>.”</w:t>
      </w:r>
    </w:p>
    <w:p w14:paraId="6E8DCABB" w14:textId="77777777" w:rsidR="000A6003" w:rsidRDefault="000A6003"/>
    <w:p w14:paraId="50A760CB" w14:textId="77777777" w:rsidR="000A6003" w:rsidRDefault="009D0F65">
      <w:r>
        <w:t>The privacy considerations section of the core VC specification is extensive.</w:t>
      </w:r>
      <w:r>
        <w:rPr>
          <w:vertAlign w:val="superscript"/>
        </w:rPr>
        <w:footnoteReference w:id="82"/>
      </w:r>
      <w:r>
        <w:t xml:space="preserve"> It recognizes that privacy is not a binary concept and that government-issued identifiers are often highly </w:t>
      </w:r>
      <w:proofErr w:type="spellStart"/>
      <w:r>
        <w:t>correlatable</w:t>
      </w:r>
      <w:proofErr w:type="spellEnd"/>
      <w:r>
        <w:t>.</w:t>
      </w:r>
    </w:p>
    <w:p w14:paraId="40392523" w14:textId="77777777" w:rsidR="000A6003" w:rsidRDefault="000A6003"/>
    <w:p w14:paraId="56B6524D" w14:textId="4BCD55F9" w:rsidR="000A6003" w:rsidRDefault="009D0F65">
      <w:r>
        <w:t xml:space="preserve">While not restricted to blockchains, countries exploring blockchain technologies have relied on VCs for their services. The European Blockchain Services Infrastructure (EBSI), an initiative of the European Commission and the European Blockchain Partnership, required </w:t>
      </w:r>
      <w:r>
        <w:lastRenderedPageBreak/>
        <w:t>support for the Verifiable Credentials Lifecycle “to understand how Verifiable Credentials work according to W3C and EBSI standard.”</w:t>
      </w:r>
      <w:r>
        <w:rPr>
          <w:vertAlign w:val="superscript"/>
        </w:rPr>
        <w:footnoteReference w:id="83"/>
      </w:r>
    </w:p>
    <w:p w14:paraId="07D8BE99" w14:textId="77777777" w:rsidR="001D248B" w:rsidRPr="001D248B" w:rsidRDefault="001D248B" w:rsidP="001D248B">
      <w:pPr>
        <w:pStyle w:val="Heading4"/>
      </w:pPr>
      <w:r w:rsidRPr="001D248B">
        <w:t xml:space="preserve">ISO/IEC 18013-5:2021 Personal identification — ISO-compliant driving </w:t>
      </w:r>
      <w:proofErr w:type="spellStart"/>
      <w:r w:rsidRPr="001D248B">
        <w:t>licence</w:t>
      </w:r>
      <w:proofErr w:type="spellEnd"/>
      <w:r w:rsidRPr="001D248B">
        <w:t xml:space="preserve"> — Part 5: Mobile driving </w:t>
      </w:r>
      <w:proofErr w:type="spellStart"/>
      <w:r w:rsidRPr="001D248B">
        <w:t>licence</w:t>
      </w:r>
      <w:proofErr w:type="spellEnd"/>
      <w:r w:rsidRPr="001D248B">
        <w:t xml:space="preserve"> (mDL) application</w:t>
      </w:r>
    </w:p>
    <w:p w14:paraId="7603FF04" w14:textId="77777777" w:rsidR="00FC115B" w:rsidRDefault="00FC115B" w:rsidP="00FC115B">
      <w:pPr>
        <w:widowControl w:val="0"/>
      </w:pPr>
      <w:r>
        <w:t xml:space="preserve">The acceptance of driving licenses at the international level down to the most local jurisdiction makes driver's licenses one of the most influential sources of identification in the world. </w:t>
      </w:r>
    </w:p>
    <w:p w14:paraId="125B3D42" w14:textId="77777777" w:rsidR="00FC115B" w:rsidRPr="00287C4C" w:rsidRDefault="00FC115B" w:rsidP="00FC115B">
      <w:pPr>
        <w:widowControl w:val="0"/>
      </w:pPr>
    </w:p>
    <w:p w14:paraId="5149C9BE" w14:textId="5495D3A5" w:rsidR="00FC115B" w:rsidDel="00246A5D" w:rsidRDefault="00FC115B" w:rsidP="00FC115B">
      <w:pPr>
        <w:widowControl w:val="0"/>
      </w:pPr>
      <w:r>
        <w:t>Such level of interoperability is driven by standardization, and b</w:t>
      </w:r>
      <w:r w:rsidDel="00246A5D">
        <w:t xml:space="preserve">ecause </w:t>
      </w:r>
      <w:r>
        <w:t xml:space="preserve">card-based </w:t>
      </w:r>
      <w:r w:rsidDel="00246A5D">
        <w:t>driver's licenses are already expected to follow international standards, m</w:t>
      </w:r>
      <w:r>
        <w:t xml:space="preserve">obile driving </w:t>
      </w:r>
      <w:r w:rsidR="00CA2B0C">
        <w:t>licenses</w:t>
      </w:r>
      <w:r>
        <w:t xml:space="preserve"> (mDLs)</w:t>
      </w:r>
      <w:r w:rsidDel="00246A5D">
        <w:t xml:space="preserve"> </w:t>
      </w:r>
      <w:r>
        <w:t xml:space="preserve">similarly </w:t>
      </w:r>
      <w:r w:rsidDel="00246A5D">
        <w:t xml:space="preserve">require </w:t>
      </w:r>
      <w:r>
        <w:t xml:space="preserve">the same </w:t>
      </w:r>
      <w:r w:rsidDel="00246A5D">
        <w:t>interoperab</w:t>
      </w:r>
      <w:r>
        <w:t>ility.</w:t>
      </w:r>
      <w:r w:rsidDel="00246A5D">
        <w:t xml:space="preserve"> </w:t>
      </w:r>
      <w:r>
        <w:t>As such, t</w:t>
      </w:r>
      <w:r w:rsidDel="00246A5D">
        <w:t xml:space="preserve">he ISO/IEC 18013 group of standards for driver's licenses </w:t>
      </w:r>
      <w:r>
        <w:t>was extended to</w:t>
      </w:r>
      <w:r w:rsidDel="00246A5D">
        <w:t xml:space="preserve"> include </w:t>
      </w:r>
      <w:r>
        <w:t xml:space="preserve">and cover </w:t>
      </w:r>
      <w:r w:rsidDel="00246A5D">
        <w:t>m</w:t>
      </w:r>
      <w:r>
        <w:t xml:space="preserve">obile </w:t>
      </w:r>
      <w:r w:rsidDel="00246A5D">
        <w:t>D</w:t>
      </w:r>
      <w:r>
        <w:t xml:space="preserve">riving </w:t>
      </w:r>
      <w:r w:rsidDel="00246A5D">
        <w:t>L</w:t>
      </w:r>
      <w:r>
        <w:t>icense credentials under</w:t>
      </w:r>
      <w:r w:rsidDel="00246A5D">
        <w:t xml:space="preserve"> "ISO/IEC 18013-5</w:t>
      </w:r>
      <w:r>
        <w:t xml:space="preserve"> -</w:t>
      </w:r>
      <w:r w:rsidDel="00246A5D">
        <w:t xml:space="preserve">2021 - Personal identification — ISO-compliant driving </w:t>
      </w:r>
      <w:proofErr w:type="spellStart"/>
      <w:r w:rsidDel="00246A5D">
        <w:t>licence</w:t>
      </w:r>
      <w:proofErr w:type="spellEnd"/>
      <w:r w:rsidDel="00246A5D">
        <w:t xml:space="preserve"> — Part 5: Mobile driving </w:t>
      </w:r>
      <w:proofErr w:type="spellStart"/>
      <w:r w:rsidDel="00246A5D">
        <w:t>licence</w:t>
      </w:r>
      <w:proofErr w:type="spellEnd"/>
      <w:r w:rsidDel="00246A5D">
        <w:t xml:space="preserve"> (mDL) application."</w:t>
      </w:r>
      <w:r w:rsidDel="00246A5D">
        <w:rPr>
          <w:vertAlign w:val="superscript"/>
        </w:rPr>
        <w:footnoteReference w:id="84"/>
      </w:r>
    </w:p>
    <w:p w14:paraId="16CD63C7" w14:textId="77777777" w:rsidR="00FC115B" w:rsidDel="00246A5D" w:rsidRDefault="00FC115B" w:rsidP="00FC115B">
      <w:pPr>
        <w:widowControl w:val="0"/>
      </w:pPr>
    </w:p>
    <w:p w14:paraId="60799664" w14:textId="77777777" w:rsidR="00FC115B" w:rsidDel="00246A5D" w:rsidRDefault="00FC115B" w:rsidP="00FC115B">
      <w:pPr>
        <w:widowControl w:val="0"/>
      </w:pPr>
      <w:r w:rsidDel="00246A5D">
        <w:t>As per the abstract for this standard:</w:t>
      </w:r>
    </w:p>
    <w:p w14:paraId="338B7703" w14:textId="77777777" w:rsidR="00FC115B" w:rsidDel="00246A5D" w:rsidRDefault="00FC115B" w:rsidP="00FC115B">
      <w:pPr>
        <w:widowControl w:val="0"/>
      </w:pPr>
    </w:p>
    <w:p w14:paraId="08616B29" w14:textId="77777777" w:rsidR="00FC115B" w:rsidDel="00246A5D" w:rsidRDefault="00FC115B" w:rsidP="00FC115B">
      <w:pPr>
        <w:widowControl w:val="0"/>
        <w:ind w:left="720"/>
        <w:rPr>
          <w:i/>
        </w:rPr>
      </w:pPr>
      <w:r w:rsidDel="00246A5D">
        <w:rPr>
          <w:i/>
        </w:rPr>
        <w:t xml:space="preserve">This document establishes interface specifications for the implementation of a driving </w:t>
      </w:r>
      <w:proofErr w:type="spellStart"/>
      <w:r w:rsidDel="00246A5D">
        <w:rPr>
          <w:i/>
        </w:rPr>
        <w:t>licence</w:t>
      </w:r>
      <w:proofErr w:type="spellEnd"/>
      <w:r w:rsidDel="00246A5D">
        <w:rPr>
          <w:i/>
        </w:rPr>
        <w:t xml:space="preserve"> in association with a mobile device. This document specifies the interface between the mDL and mDL reader and the interface between the mDL reader and the issuing authority infrastructure. This document also enables parties other than the issuing authority (e.g. other issuing authorities, or mDL verifiers in other countries) to:</w:t>
      </w:r>
    </w:p>
    <w:p w14:paraId="1C58B8CC" w14:textId="77777777" w:rsidR="00FC115B" w:rsidDel="00246A5D" w:rsidRDefault="00FC115B" w:rsidP="00FC115B">
      <w:pPr>
        <w:widowControl w:val="0"/>
        <w:ind w:left="720"/>
        <w:rPr>
          <w:i/>
        </w:rPr>
      </w:pPr>
      <w:r w:rsidDel="00246A5D">
        <w:rPr>
          <w:i/>
        </w:rPr>
        <w:t>—</w:t>
      </w:r>
      <w:r w:rsidDel="00246A5D">
        <w:rPr>
          <w:i/>
        </w:rPr>
        <w:tab/>
        <w:t>use a machine to obtain the mDL data;</w:t>
      </w:r>
    </w:p>
    <w:p w14:paraId="12B626BB" w14:textId="77777777" w:rsidR="00FC115B" w:rsidDel="00246A5D" w:rsidRDefault="00FC115B" w:rsidP="00FC115B">
      <w:pPr>
        <w:widowControl w:val="0"/>
        <w:ind w:left="720"/>
        <w:rPr>
          <w:i/>
        </w:rPr>
      </w:pPr>
      <w:r w:rsidDel="00246A5D">
        <w:rPr>
          <w:i/>
        </w:rPr>
        <w:t>—</w:t>
      </w:r>
      <w:r w:rsidDel="00246A5D">
        <w:rPr>
          <w:i/>
        </w:rPr>
        <w:tab/>
        <w:t>tie the mDL to the mDL holder;</w:t>
      </w:r>
    </w:p>
    <w:p w14:paraId="70F88562" w14:textId="77777777" w:rsidR="00FC115B" w:rsidDel="00246A5D" w:rsidRDefault="00FC115B" w:rsidP="00FC115B">
      <w:pPr>
        <w:widowControl w:val="0"/>
        <w:ind w:left="720"/>
        <w:rPr>
          <w:i/>
        </w:rPr>
      </w:pPr>
      <w:r w:rsidDel="00246A5D">
        <w:rPr>
          <w:i/>
        </w:rPr>
        <w:t>—</w:t>
      </w:r>
      <w:r w:rsidDel="00246A5D">
        <w:rPr>
          <w:i/>
        </w:rPr>
        <w:tab/>
        <w:t>authenticate the origin of the mDL data;</w:t>
      </w:r>
    </w:p>
    <w:p w14:paraId="0921FC50" w14:textId="77777777" w:rsidR="00FC115B" w:rsidDel="00246A5D" w:rsidRDefault="00FC115B" w:rsidP="00FC115B">
      <w:pPr>
        <w:widowControl w:val="0"/>
        <w:ind w:left="720"/>
        <w:rPr>
          <w:i/>
        </w:rPr>
      </w:pPr>
      <w:r w:rsidDel="00246A5D">
        <w:rPr>
          <w:i/>
        </w:rPr>
        <w:t>—</w:t>
      </w:r>
      <w:r w:rsidDel="00246A5D">
        <w:rPr>
          <w:i/>
        </w:rPr>
        <w:tab/>
        <w:t>verify the integrity of the mDL data.</w:t>
      </w:r>
    </w:p>
    <w:p w14:paraId="77D93857" w14:textId="77777777" w:rsidR="00FC115B" w:rsidDel="00246A5D" w:rsidRDefault="00FC115B" w:rsidP="00FC115B">
      <w:pPr>
        <w:widowControl w:val="0"/>
        <w:ind w:left="720"/>
        <w:rPr>
          <w:i/>
        </w:rPr>
      </w:pPr>
      <w:r w:rsidDel="00246A5D">
        <w:rPr>
          <w:i/>
        </w:rPr>
        <w:t>The following items are out of scope for this document:</w:t>
      </w:r>
    </w:p>
    <w:p w14:paraId="6353530C" w14:textId="77777777" w:rsidR="00FC115B" w:rsidDel="00246A5D" w:rsidRDefault="00FC115B" w:rsidP="00FC115B">
      <w:pPr>
        <w:widowControl w:val="0"/>
        <w:ind w:left="720"/>
        <w:rPr>
          <w:i/>
        </w:rPr>
      </w:pPr>
      <w:r w:rsidDel="00246A5D">
        <w:rPr>
          <w:i/>
        </w:rPr>
        <w:t>—</w:t>
      </w:r>
      <w:r w:rsidDel="00246A5D">
        <w:rPr>
          <w:i/>
        </w:rPr>
        <w:tab/>
        <w:t>how mDL holder consent to share data is obtained;</w:t>
      </w:r>
    </w:p>
    <w:p w14:paraId="0EA5CD80" w14:textId="77777777" w:rsidR="00FC115B" w:rsidRDefault="00FC115B" w:rsidP="00FC115B">
      <w:pPr>
        <w:widowControl w:val="0"/>
        <w:ind w:left="720"/>
        <w:rPr>
          <w:i/>
        </w:rPr>
      </w:pPr>
      <w:r w:rsidDel="00246A5D">
        <w:rPr>
          <w:i/>
        </w:rPr>
        <w:t>—</w:t>
      </w:r>
      <w:r w:rsidDel="00246A5D">
        <w:rPr>
          <w:i/>
        </w:rPr>
        <w:tab/>
        <w:t>requirements on storage of mDL data and mDL private keys.</w:t>
      </w:r>
    </w:p>
    <w:p w14:paraId="09C96EAF" w14:textId="77777777" w:rsidR="00FC115B" w:rsidRDefault="00FC115B" w:rsidP="00FC115B">
      <w:pPr>
        <w:widowControl w:val="0"/>
      </w:pPr>
    </w:p>
    <w:p w14:paraId="0FA7F87C" w14:textId="77777777" w:rsidR="00FC115B" w:rsidRDefault="00FC115B" w:rsidP="00FC115B">
      <w:pPr>
        <w:widowControl w:val="0"/>
      </w:pPr>
    </w:p>
    <w:p w14:paraId="39F45668" w14:textId="77777777" w:rsidR="00FC115B" w:rsidRDefault="00FC115B" w:rsidP="00FC115B">
      <w:pPr>
        <w:widowControl w:val="0"/>
      </w:pPr>
      <w:r>
        <w:t>ISO/IEC 18013-5 was designed with the core ISO/IEC privacy principles in mind (see ISO/IEC 29100:2011).</w:t>
      </w:r>
      <w:r>
        <w:rPr>
          <w:vertAlign w:val="superscript"/>
        </w:rPr>
        <w:footnoteReference w:id="85"/>
      </w:r>
      <w:r>
        <w:t xml:space="preserve"> These principles include: consent and choice, purpose specification and data retention, data minimization, collection limitation, accuracy and quality, openness, transparency, and individual participation, accountability and privacy compliance, and </w:t>
      </w:r>
      <w:r>
        <w:lastRenderedPageBreak/>
        <w:t>information security.</w:t>
      </w:r>
      <w:r>
        <w:rPr>
          <w:vertAlign w:val="superscript"/>
        </w:rPr>
        <w:footnoteReference w:id="86"/>
      </w:r>
    </w:p>
    <w:p w14:paraId="6DA3B7CF" w14:textId="77777777" w:rsidR="00FC115B" w:rsidRDefault="00FC115B" w:rsidP="00FC115B">
      <w:pPr>
        <w:widowControl w:val="0"/>
      </w:pPr>
    </w:p>
    <w:p w14:paraId="3CCF6CD9" w14:textId="77777777" w:rsidR="00FC115B" w:rsidRDefault="00FC115B" w:rsidP="00FC115B">
      <w:pPr>
        <w:widowControl w:val="0"/>
        <w:rPr>
          <w:i/>
        </w:rPr>
      </w:pPr>
      <w:r>
        <w:t xml:space="preserve">The move towards mDLs, therefore, has a significant potential for influencing the scope, use, and privacy expectations of any government-issued digital credentials globally. </w:t>
      </w:r>
    </w:p>
    <w:p w14:paraId="7C8F82FE" w14:textId="77777777" w:rsidR="00FC115B" w:rsidRDefault="00FC115B" w:rsidP="00FC115B">
      <w:pPr>
        <w:widowControl w:val="0"/>
      </w:pPr>
    </w:p>
    <w:p w14:paraId="28A13306" w14:textId="12E53EFB" w:rsidR="00FC115B" w:rsidRDefault="00FC115B" w:rsidP="00FC115B">
      <w:pPr>
        <w:widowControl w:val="0"/>
      </w:pPr>
      <w:r>
        <w:t>To complement the published ISO</w:t>
      </w:r>
      <w:r w:rsidR="000778E6">
        <w:t xml:space="preserve">/IEC </w:t>
      </w:r>
      <w:r>
        <w:t>18013-5 that addresses in person presentation of a credential, 18013-7 will soon follow suite to cover online presentation of credentials</w:t>
      </w:r>
      <w:r w:rsidR="00B9782D">
        <w:t>.</w:t>
      </w:r>
      <w:r>
        <w:t xml:space="preserve"> The specification family will also contemplate provisioning standards with 18013-4 and certification standards with 18013-6. All in all, the ISO mDL standard will cover a wide range of functionalities (in person verification in both connected and non-connected mode, online verification, etc..) which will open the door to new use cases while keeping end users in control of their data.</w:t>
      </w:r>
    </w:p>
    <w:p w14:paraId="4B2F449F" w14:textId="77777777" w:rsidR="00FC115B" w:rsidRDefault="00FC115B" w:rsidP="00FC115B">
      <w:pPr>
        <w:widowControl w:val="0"/>
      </w:pPr>
    </w:p>
    <w:p w14:paraId="16FFD3AC" w14:textId="7FADD515" w:rsidR="00160550" w:rsidRDefault="00FC115B" w:rsidP="00FC115B">
      <w:pPr>
        <w:widowControl w:val="0"/>
      </w:pPr>
      <w:r>
        <w:t xml:space="preserve"> While ISO/IEC 18013-5 is limited in scope to mDLs, the level of detail regarding the communication protocols, data encodings, security mechanisms and data privacy and minimization requirements can be applied to and benefit other types of digital credentials such as identity, health credentials, </w:t>
      </w:r>
      <w:r w:rsidR="000778E6">
        <w:t>etc.,</w:t>
      </w:r>
      <w:r>
        <w:t xml:space="preserve"> in a multiple credential wallet approach.</w:t>
      </w:r>
    </w:p>
    <w:p w14:paraId="7A054D4C" w14:textId="74274403" w:rsidR="001D248B" w:rsidRDefault="00FC115B" w:rsidP="001D248B">
      <w:r>
        <w:br w:type="page"/>
      </w:r>
    </w:p>
    <w:p w14:paraId="6F683D48" w14:textId="77777777" w:rsidR="001D248B" w:rsidRDefault="001D248B" w:rsidP="001D248B"/>
    <w:tbl>
      <w:tblPr>
        <w:tblStyle w:val="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D248B" w14:paraId="04824B44" w14:textId="77777777" w:rsidTr="009D0F65">
        <w:tc>
          <w:tcPr>
            <w:tcW w:w="9360" w:type="dxa"/>
            <w:shd w:val="clear" w:color="auto" w:fill="auto"/>
            <w:tcMar>
              <w:top w:w="100" w:type="dxa"/>
              <w:left w:w="100" w:type="dxa"/>
              <w:bottom w:w="100" w:type="dxa"/>
              <w:right w:w="100" w:type="dxa"/>
            </w:tcMar>
          </w:tcPr>
          <w:p w14:paraId="0D03DE28" w14:textId="77777777" w:rsidR="001D248B" w:rsidRDefault="001D248B" w:rsidP="009D0F65">
            <w:pPr>
              <w:widowControl w:val="0"/>
              <w:rPr>
                <w:b/>
              </w:rPr>
            </w:pPr>
            <w:r>
              <w:rPr>
                <w:b/>
              </w:rPr>
              <w:t>Developing a Privacy-Enhancing Model for Mobile Credentials</w:t>
            </w:r>
          </w:p>
          <w:p w14:paraId="686E66B1" w14:textId="77777777" w:rsidR="001D248B" w:rsidRDefault="001D248B" w:rsidP="009D0F65">
            <w:pPr>
              <w:widowControl w:val="0"/>
            </w:pPr>
          </w:p>
          <w:p w14:paraId="6E667D0C" w14:textId="3851C084" w:rsidR="001D248B" w:rsidRDefault="001D248B" w:rsidP="009D0F65">
            <w:pPr>
              <w:widowControl w:val="0"/>
            </w:pPr>
            <w:r>
              <w:t>The Privacy Enhancing Mobile Credentials Work</w:t>
            </w:r>
            <w:r w:rsidR="00DD3B40">
              <w:t xml:space="preserve"> G</w:t>
            </w:r>
            <w:r>
              <w:t>roup</w:t>
            </w:r>
            <w:r w:rsidR="00DD3B40">
              <w:t xml:space="preserve"> (PEMC WG)</w:t>
            </w:r>
            <w:r>
              <w:t xml:space="preserve"> at the Kantara Initiative is working on creating a set of privacy requirements for Issuers, Verifiers, and Providers of digital identity credentials so that each stakeholder can demonstrate their conformance to these requirements. At the heart of the PEMC </w:t>
            </w:r>
            <w:r w:rsidR="00DD3B40">
              <w:t xml:space="preserve">WG </w:t>
            </w:r>
            <w:r>
              <w:t>process is</w:t>
            </w:r>
            <w:r w:rsidR="006C2722">
              <w:t xml:space="preserve"> the goal</w:t>
            </w:r>
            <w:r>
              <w:t xml:space="preserve"> to ensure that the reasonable privacy expectations of the individual holding the credential are met</w:t>
            </w:r>
            <w:r w:rsidR="003B34DD">
              <w:t xml:space="preserve">. </w:t>
            </w:r>
            <w:r>
              <w:t xml:space="preserve">The "Trust Triangle" below illustrates the key stakeholders in the ecosystem. At each intersection, the stakeholder could be an individual or organization, and different standards could apply, but the privacy requirements would be similar in this decentralized model. </w:t>
            </w:r>
          </w:p>
          <w:p w14:paraId="6CD83303" w14:textId="77777777" w:rsidR="001D248B" w:rsidRDefault="001D248B" w:rsidP="009D0F65">
            <w:pPr>
              <w:widowControl w:val="0"/>
            </w:pPr>
          </w:p>
          <w:p w14:paraId="36E2ABBE" w14:textId="77777777" w:rsidR="00DD3B40" w:rsidRDefault="00DD3B40" w:rsidP="00DD3B40">
            <w:pPr>
              <w:keepNext/>
              <w:widowControl w:val="0"/>
              <w:jc w:val="center"/>
            </w:pPr>
            <w:r>
              <w:rPr>
                <w:noProof/>
              </w:rPr>
              <w:drawing>
                <wp:inline distT="0" distB="0" distL="0" distR="0" wp14:anchorId="2E84FFBA" wp14:editId="6F8CFB8D">
                  <wp:extent cx="4649821" cy="3214772"/>
                  <wp:effectExtent l="0" t="0" r="0" b="0"/>
                  <wp:docPr id="109" name="Picture 10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49150" cy="3283446"/>
                          </a:xfrm>
                          <a:prstGeom prst="rect">
                            <a:avLst/>
                          </a:prstGeom>
                        </pic:spPr>
                      </pic:pic>
                    </a:graphicData>
                  </a:graphic>
                </wp:inline>
              </w:drawing>
            </w:r>
          </w:p>
          <w:p w14:paraId="3D29EB75" w14:textId="33534CD0" w:rsidR="001D248B" w:rsidRDefault="00DD3B40" w:rsidP="00DD3B40">
            <w:pPr>
              <w:pStyle w:val="Caption"/>
              <w:jc w:val="center"/>
            </w:pPr>
            <w:r>
              <w:t xml:space="preserve">Figure </w:t>
            </w:r>
            <w:r w:rsidR="009D0F65">
              <w:fldChar w:fldCharType="begin"/>
            </w:r>
            <w:r w:rsidR="009D0F65">
              <w:instrText xml:space="preserve"> SEQ Figure \* ARABIC </w:instrText>
            </w:r>
            <w:r w:rsidR="009D0F65">
              <w:fldChar w:fldCharType="separate"/>
            </w:r>
            <w:r w:rsidR="00F12243">
              <w:rPr>
                <w:noProof/>
              </w:rPr>
              <w:t>2</w:t>
            </w:r>
            <w:r w:rsidR="009D0F65">
              <w:rPr>
                <w:noProof/>
              </w:rPr>
              <w:fldChar w:fldCharType="end"/>
            </w:r>
            <w:r>
              <w:t>: the PEMC Trust Triangle model</w:t>
            </w:r>
          </w:p>
          <w:p w14:paraId="0C3ABA9A" w14:textId="77777777" w:rsidR="001D248B" w:rsidRDefault="001D248B" w:rsidP="009D0F65">
            <w:pPr>
              <w:widowControl w:val="0"/>
            </w:pPr>
          </w:p>
          <w:p w14:paraId="44156A48" w14:textId="01EA9438" w:rsidR="001D248B" w:rsidRDefault="00DD3B40" w:rsidP="009D0F65">
            <w:pPr>
              <w:widowControl w:val="0"/>
            </w:pPr>
            <w:r>
              <w:t>Work is currently underway for the Early</w:t>
            </w:r>
            <w:r w:rsidR="001D248B">
              <w:t xml:space="preserve"> Implementor’s </w:t>
            </w:r>
            <w:r>
              <w:t>Guidance report and interested parties are encouraged to join the PEMC WG. T</w:t>
            </w:r>
            <w:r w:rsidR="001D248B">
              <w:t xml:space="preserve">he PEMC working group will continue to progress definition of the detailed requirements and ultimately conformance processes. This work can provide a reasonable foundation for market participants to self-certify conformance to shared privacy guidelines, a key first step. </w:t>
            </w:r>
          </w:p>
          <w:p w14:paraId="049B18D0" w14:textId="77777777" w:rsidR="001D248B" w:rsidRDefault="001D248B" w:rsidP="009D0F65">
            <w:pPr>
              <w:widowControl w:val="0"/>
            </w:pPr>
          </w:p>
          <w:p w14:paraId="5CE97D8C" w14:textId="1DB69EA2" w:rsidR="001D248B" w:rsidRDefault="001D248B" w:rsidP="009D0F65">
            <w:pPr>
              <w:widowControl w:val="0"/>
            </w:pPr>
            <w:r>
              <w:t>However, this is the start of the journey. There are limits to the potential impact as there are no current policies that mandate conformance to these guidelines, nor are there mechanisms to automate conformance at scale (e.g.</w:t>
            </w:r>
            <w:r w:rsidR="000778E6">
              <w:t>,</w:t>
            </w:r>
            <w:r>
              <w:t xml:space="preserve"> manual review of implementations by auditors v</w:t>
            </w:r>
            <w:r w:rsidR="000778E6">
              <w:t>ersus</w:t>
            </w:r>
            <w:r>
              <w:t xml:space="preserve"> automated test suites that are possible on protocols. </w:t>
            </w:r>
          </w:p>
        </w:tc>
      </w:tr>
    </w:tbl>
    <w:p w14:paraId="1FFEAA52" w14:textId="77777777" w:rsidR="001D248B" w:rsidRDefault="001D248B"/>
    <w:p w14:paraId="2B804664" w14:textId="77777777" w:rsidR="000A6003" w:rsidRDefault="009D0F65">
      <w:pPr>
        <w:pStyle w:val="Heading3"/>
      </w:pPr>
      <w:bookmarkStart w:id="147" w:name="_Toc134081063"/>
      <w:r>
        <w:t>The Standards Behind Biometrics</w:t>
      </w:r>
      <w:bookmarkEnd w:id="147"/>
    </w:p>
    <w:p w14:paraId="359F8693" w14:textId="3873396F" w:rsidR="00132EBC" w:rsidRDefault="009D0F65" w:rsidP="00132EBC">
      <w:r>
        <w:t>All digital credentials described in this paper include some use of biometrics</w:t>
      </w:r>
      <w:r w:rsidR="00132EBC" w:rsidRPr="00132EBC">
        <w:t xml:space="preserve"> </w:t>
      </w:r>
      <w:r w:rsidR="00132EBC">
        <w:t xml:space="preserve">and there are many related standards that address interchange, privacy, profiles, etc. As the focus here is government-issued digital credentials, which are typically used as legal or foundational identity to establish contextual or functional identity, it is imperative that the authenticity and quality of the biometric is addressed. </w:t>
      </w:r>
    </w:p>
    <w:p w14:paraId="16D9BE5E" w14:textId="77777777" w:rsidR="00132EBC" w:rsidRDefault="00132EBC" w:rsidP="00132EBC"/>
    <w:p w14:paraId="43FA8DAB" w14:textId="77777777" w:rsidR="00132EBC" w:rsidRDefault="00132EBC" w:rsidP="00132EBC">
      <w:pPr>
        <w:pStyle w:val="ListParagraph"/>
        <w:numPr>
          <w:ilvl w:val="0"/>
          <w:numId w:val="751"/>
        </w:numPr>
      </w:pPr>
      <w:r>
        <w:rPr>
          <w:b/>
          <w:bCs/>
        </w:rPr>
        <w:t xml:space="preserve">Biometric </w:t>
      </w:r>
      <w:r w:rsidRPr="00B81B71">
        <w:rPr>
          <w:b/>
          <w:bCs/>
        </w:rPr>
        <w:t>Authenticity</w:t>
      </w:r>
      <w:r>
        <w:t xml:space="preserve"> has varying levels of risk, or assurance, based on the issuance process where in-person processing (capture) yields the lowest risk (highest assurance) and remoted processing the highest risk (lowest assurance). </w:t>
      </w:r>
    </w:p>
    <w:p w14:paraId="7E19B1E8" w14:textId="77777777" w:rsidR="00132EBC" w:rsidRDefault="00132EBC" w:rsidP="00132EBC">
      <w:pPr>
        <w:pStyle w:val="ListParagraph"/>
        <w:numPr>
          <w:ilvl w:val="0"/>
          <w:numId w:val="751"/>
        </w:numPr>
      </w:pPr>
      <w:r w:rsidRPr="00B81B71">
        <w:rPr>
          <w:b/>
          <w:bCs/>
        </w:rPr>
        <w:t>Biometric quality</w:t>
      </w:r>
      <w:r>
        <w:t xml:space="preserve"> has proven to be a predictor of biometric matching performance; therefore, the quality of the government-issued reference biometric is paramount and there are related standards which included the ISO/IEC 19794-X, 39794-X, and forthcoming 29794-X series. </w:t>
      </w:r>
    </w:p>
    <w:p w14:paraId="5541A197" w14:textId="77777777" w:rsidR="00132EBC" w:rsidRDefault="00132EBC" w:rsidP="00132EBC"/>
    <w:p w14:paraId="31F69BBF" w14:textId="01F062E1" w:rsidR="00132EBC" w:rsidRDefault="00132EBC" w:rsidP="00132EBC">
      <w:r>
        <w:t>Another key use of biometrics with respect to government</w:t>
      </w:r>
      <w:r w:rsidR="00316C60">
        <w:t>-</w:t>
      </w:r>
      <w:r>
        <w:t>issued digital credentials is in the establishment of uniqueness as part of the identity proofing process. Perhaps the best example of this is that of the Unique Identification Authority of India’s Aadhaar program that has biometrically deduplicated more than 1.3 billion residents of India to assign unique Aadhaar numbers.</w:t>
      </w:r>
      <w:r w:rsidR="009D0F65">
        <w:t xml:space="preserve"> </w:t>
      </w:r>
    </w:p>
    <w:p w14:paraId="0D570259" w14:textId="77777777" w:rsidR="00132EBC" w:rsidRDefault="00132EBC"/>
    <w:p w14:paraId="73192BD0" w14:textId="3F919FEA" w:rsidR="000A6003" w:rsidRDefault="00662C9A">
      <w:r>
        <w:t>Two</w:t>
      </w:r>
      <w:r w:rsidR="009D0F65">
        <w:t xml:space="preserve"> sets of standards that exemplify how to use </w:t>
      </w:r>
      <w:r w:rsidR="00512255">
        <w:t xml:space="preserve">digital credentials in a privacy-preserving manner </w:t>
      </w:r>
      <w:r w:rsidR="009D0F65">
        <w:t>include NIST SP 800-63-3</w:t>
      </w:r>
      <w:r w:rsidR="00BC001A">
        <w:t xml:space="preserve"> (an example of a national-level standard)</w:t>
      </w:r>
      <w:r w:rsidR="009D0F65">
        <w:t>.</w:t>
      </w:r>
      <w:r w:rsidR="00566AF6">
        <w:rPr>
          <w:rStyle w:val="FootnoteReference"/>
        </w:rPr>
        <w:footnoteReference w:id="87"/>
      </w:r>
      <w:r w:rsidR="00512255">
        <w:t xml:space="preserve"> </w:t>
      </w:r>
      <w:r w:rsidR="00BC001A">
        <w:t>There are several others either in use or under development; this is just a sample.</w:t>
      </w:r>
    </w:p>
    <w:p w14:paraId="24FF08FD" w14:textId="77777777" w:rsidR="00BC001A" w:rsidRDefault="00BC001A" w:rsidP="00BC001A">
      <w:pPr>
        <w:pStyle w:val="Heading4"/>
      </w:pPr>
      <w:r>
        <w:t>ISO/IEC 27533</w:t>
      </w:r>
    </w:p>
    <w:p w14:paraId="6708AAC6" w14:textId="77777777" w:rsidR="00BC001A" w:rsidRDefault="00BC001A" w:rsidP="00BC001A">
      <w:r>
        <w:t xml:space="preserve">This standard, currently in two parts, </w:t>
      </w:r>
      <w:r w:rsidRPr="005A27CD">
        <w:t xml:space="preserve">provides </w:t>
      </w:r>
      <w:r>
        <w:t xml:space="preserve">a collection of </w:t>
      </w:r>
      <w:r w:rsidRPr="005A27CD">
        <w:t>high-level requirements for biometric authentication on mobile devices</w:t>
      </w:r>
      <w:r>
        <w:t xml:space="preserve">. Part 1 focuses on what the standard refers to as ‘local modes,’ </w:t>
      </w:r>
      <w:r w:rsidRPr="005A27CD">
        <w:t>biometric data and derived biometric data do not leave the device</w:t>
      </w:r>
      <w:r>
        <w:t>. In other words, the standard focuses on the protection of biometric data on the device itself, not as it relates to access to remote, off-device services. This standard was approved and published in November 2022.</w:t>
      </w:r>
      <w:r>
        <w:rPr>
          <w:rStyle w:val="FootnoteReference"/>
        </w:rPr>
        <w:footnoteReference w:id="88"/>
      </w:r>
    </w:p>
    <w:p w14:paraId="528C581A" w14:textId="77777777" w:rsidR="00BC001A" w:rsidRDefault="00BC001A" w:rsidP="00BC001A"/>
    <w:p w14:paraId="6D1CC60B" w14:textId="77777777" w:rsidR="00BC001A" w:rsidRDefault="00BC001A" w:rsidP="00BC001A">
      <w:r>
        <w:t xml:space="preserve">Part 2, still under development, picks up where Part 1 leaves off and focuses on remote modes where the biometric data “the biometric data or derived biometric data are </w:t>
      </w:r>
      <w:r>
        <w:lastRenderedPageBreak/>
        <w:t>transmitted between the mobile devices and the remote services in either or both directions.”</w:t>
      </w:r>
      <w:r>
        <w:rPr>
          <w:rStyle w:val="FootnoteReference"/>
        </w:rPr>
        <w:footnoteReference w:id="89"/>
      </w:r>
    </w:p>
    <w:p w14:paraId="681F5DE2" w14:textId="77777777" w:rsidR="004F61DD" w:rsidRDefault="004F61DD" w:rsidP="00BC001A"/>
    <w:p w14:paraId="4C38A8F6" w14:textId="4DE58568" w:rsidR="004F61DD" w:rsidRDefault="004F61DD" w:rsidP="00BC001A">
      <w:r>
        <w:t xml:space="preserve">ISO has additional standards that focus more on biometric attacks and testing biometric algorithms (see </w:t>
      </w:r>
      <w:r w:rsidR="008F18AC">
        <w:t xml:space="preserve">the </w:t>
      </w:r>
      <w:r w:rsidRPr="004F61DD">
        <w:t>ISO</w:t>
      </w:r>
      <w:r w:rsidR="008F18AC">
        <w:t>/IEC</w:t>
      </w:r>
      <w:r w:rsidRPr="004F61DD">
        <w:t xml:space="preserve"> 30107 </w:t>
      </w:r>
      <w:r w:rsidR="008F18AC">
        <w:t>Biometric presentation attack detection family</w:t>
      </w:r>
      <w:r>
        <w:t xml:space="preserve"> and </w:t>
      </w:r>
      <w:r w:rsidRPr="004F61DD">
        <w:t>ISO/IEC 19795-1:2021 for testing biometric verification performance</w:t>
      </w:r>
      <w:r>
        <w:t>).</w:t>
      </w:r>
      <w:r>
        <w:rPr>
          <w:rStyle w:val="FootnoteReference"/>
        </w:rPr>
        <w:footnoteReference w:id="90"/>
      </w:r>
      <w:r>
        <w:t xml:space="preserve"> Reviewing these criteria in these standards may go a long way to helping governments and businesses use biometric data safely and equitably.</w:t>
      </w:r>
    </w:p>
    <w:p w14:paraId="5383046C" w14:textId="77777777" w:rsidR="000A6003" w:rsidRDefault="009D0F65">
      <w:pPr>
        <w:pStyle w:val="Heading4"/>
      </w:pPr>
      <w:r>
        <w:t>NIST SP 800-63-3 Digital Identity Guidelines</w:t>
      </w:r>
    </w:p>
    <w:p w14:paraId="644D859D" w14:textId="3998223A" w:rsidR="000A6003" w:rsidRDefault="009D0F65">
      <w:r>
        <w:t xml:space="preserve">NIST SP 800-63 has been a profoundly influential set of standards since its initial publication in </w:t>
      </w:r>
      <w:r w:rsidR="0001766C">
        <w:t>June 2004</w:t>
      </w:r>
      <w:r>
        <w:t xml:space="preserve">. Since then, these guidelines have gone through two revisions and are in the process of completing a third (NIST SP 800-63-4). The purpose of these guidelines </w:t>
      </w:r>
      <w:r w:rsidR="00B265F0">
        <w:t>is</w:t>
      </w:r>
      <w:r>
        <w:t xml:space="preserve"> to “provide technical guidelines to credential service providers (CSPs) for the implementation of digital authentication.”</w:t>
      </w:r>
      <w:r>
        <w:rPr>
          <w:vertAlign w:val="superscript"/>
        </w:rPr>
        <w:footnoteReference w:id="91"/>
      </w:r>
      <w:r>
        <w:t xml:space="preserve"> Government-issued digital credentials are generally issued for specific services; they are not part of any national-level identity scheme.</w:t>
      </w:r>
    </w:p>
    <w:p w14:paraId="0D0BC4D6" w14:textId="77777777" w:rsidR="000A6003" w:rsidRDefault="000A6003"/>
    <w:p w14:paraId="178AEF55" w14:textId="77777777" w:rsidR="000A6003" w:rsidRDefault="009D0F65">
      <w:r>
        <w:t>While the guidelines provide direction mandatory for U.S. government agencies, governments around the world have found the contents useful to their own issuance of digital credentials. NIST SP 800-63-3 took a new approach to assurance, retiring the concept of a single level of assurance and considering the different elements of risk associated with the authentication process:</w:t>
      </w:r>
    </w:p>
    <w:p w14:paraId="480C3C16" w14:textId="77777777" w:rsidR="000A6003" w:rsidRDefault="000A6003"/>
    <w:p w14:paraId="1869F847" w14:textId="77777777" w:rsidR="000A6003" w:rsidRDefault="009D0F65" w:rsidP="00C5772E">
      <w:pPr>
        <w:pStyle w:val="Quote"/>
        <w:jc w:val="left"/>
      </w:pPr>
      <w:r>
        <w:t>“These guidelines provide mitigations of an authentication error’s negative impacts by separating the individual elements of identity assurance into discrete, component parts. For non-federated systems, agencies will select two components, referred to as Identity Assurance Level (IAL) and Authenticator Assurance Level (AAL). For federated systems, agencies will select a third component, Federation Assurance Level (FAL).</w:t>
      </w:r>
    </w:p>
    <w:p w14:paraId="34667EEE" w14:textId="77777777" w:rsidR="000A6003" w:rsidRDefault="000A6003" w:rsidP="00C5772E">
      <w:pPr>
        <w:pStyle w:val="Quote"/>
        <w:jc w:val="left"/>
      </w:pPr>
    </w:p>
    <w:p w14:paraId="7F5F4E32" w14:textId="1F6806CD" w:rsidR="000A6003" w:rsidRDefault="009D0F65" w:rsidP="00AD466E">
      <w:pPr>
        <w:pStyle w:val="Quote"/>
        <w:jc w:val="left"/>
        <w:rPr>
          <w:vertAlign w:val="superscript"/>
        </w:rPr>
      </w:pPr>
      <w:r>
        <w:t>These guidelines retire the concept of a level of assurance (LOA) as a single ordinal that drives implementation-specific requirements. Rather, by combining appropriate business and privacy risk management side-by-side with mission need, agencies will select IAL, AAL, and FAL as distinct options. While many systems will have the same numerical level for each of IAL, AAL, and FAL, this is not a requirement and agencies should not assume they will be the same in any given system.”</w:t>
      </w:r>
      <w:r w:rsidR="00C5772E">
        <w:t xml:space="preserve"> – Paul </w:t>
      </w:r>
      <w:r w:rsidR="00C5772E" w:rsidRPr="00C5772E">
        <w:t>Grassi, Michael Garcia, and James Fenton</w:t>
      </w:r>
      <w:r w:rsidR="00C5772E">
        <w:t>, NIST SP 800-63-3</w:t>
      </w:r>
      <w:r w:rsidR="00C5772E" w:rsidRPr="00C5772E">
        <w:rPr>
          <w:vertAlign w:val="superscript"/>
        </w:rPr>
        <w:t xml:space="preserve"> </w:t>
      </w:r>
      <w:r>
        <w:rPr>
          <w:vertAlign w:val="superscript"/>
        </w:rPr>
        <w:footnoteReference w:id="92"/>
      </w:r>
    </w:p>
    <w:p w14:paraId="2F0D10B5" w14:textId="77777777" w:rsidR="00DF362A" w:rsidRDefault="00DF362A" w:rsidP="00DF362A"/>
    <w:p w14:paraId="66FAEFE6" w14:textId="56CFCF24" w:rsidR="00DF362A" w:rsidRPr="00DF362A" w:rsidRDefault="00DF362A" w:rsidP="00095237">
      <w:r>
        <w:t xml:space="preserve">Note that NIST also has the </w:t>
      </w:r>
      <w:r>
        <w:rPr>
          <w:color w:val="333333"/>
        </w:rPr>
        <w:t>NIST Facial Recognition Vendor Test (FRVT) project, which offers facial recognition algorithms and tests to help evaluate the accuracy of facial recognition programs.</w:t>
      </w:r>
      <w:r>
        <w:rPr>
          <w:rStyle w:val="FootnoteReference"/>
          <w:color w:val="333333"/>
        </w:rPr>
        <w:footnoteReference w:id="93"/>
      </w:r>
      <w:r>
        <w:rPr>
          <w:color w:val="333333"/>
        </w:rPr>
        <w:t xml:space="preserve"> While not a standard, the FRVT provides useful tools for organizations working with facial recognition biometrics.</w:t>
      </w:r>
    </w:p>
    <w:p w14:paraId="0B29BD3A" w14:textId="77777777" w:rsidR="000A6003" w:rsidRDefault="009D0F65">
      <w:pPr>
        <w:pStyle w:val="Heading3"/>
      </w:pPr>
      <w:bookmarkStart w:id="148" w:name="_Toc134081064"/>
      <w:r>
        <w:t>Identity Assurance</w:t>
      </w:r>
      <w:bookmarkEnd w:id="148"/>
      <w:r>
        <w:t xml:space="preserve"> </w:t>
      </w:r>
    </w:p>
    <w:p w14:paraId="446EA6E6" w14:textId="2E2D50FA" w:rsidR="005D014A" w:rsidRDefault="005D014A" w:rsidP="005D014A">
      <w:r>
        <w:t>Perhaps the most valuable characteristic of a government-issued digital identity credential is the degree of confidence it offers that a person’s claimed identity is their real identity as determined by the government. Not all use cases require the same assurances, however, which has driven a need to classify and provide guidance for how to reach various levels of identity assurance.</w:t>
      </w:r>
    </w:p>
    <w:p w14:paraId="57F43BF5" w14:textId="77777777" w:rsidR="005D014A" w:rsidRDefault="005D014A" w:rsidP="005D014A"/>
    <w:p w14:paraId="6EBF5C11" w14:textId="680F874D" w:rsidR="00FE3B0C" w:rsidRDefault="00FE3B0C" w:rsidP="005D014A">
      <w:r>
        <w:t xml:space="preserve">This section touches on a few of the standards in use today to help governments and organizations grapple with how to create the necessary assurances around an individual’s digital identity. </w:t>
      </w:r>
    </w:p>
    <w:p w14:paraId="5B4D2333" w14:textId="77777777" w:rsidR="000A6003" w:rsidRDefault="009D0F65">
      <w:pPr>
        <w:pStyle w:val="Heading4"/>
      </w:pPr>
      <w:r>
        <w:t>NIST SP 800-63A</w:t>
      </w:r>
    </w:p>
    <w:p w14:paraId="2AB0F238" w14:textId="33505880" w:rsidR="00FE3B0C" w:rsidRPr="00FE3B0C" w:rsidRDefault="00FE3B0C" w:rsidP="00FE3B0C">
      <w:r>
        <w:t>We have mentioned NIST SP 800-63-3 in general, but it is worth highlighting the specific NIST standard associated with identity assurance, NIST SP 800-63A.</w:t>
      </w:r>
      <w:r>
        <w:rPr>
          <w:rStyle w:val="FootnoteReference"/>
        </w:rPr>
        <w:footnoteReference w:id="94"/>
      </w:r>
      <w:r>
        <w:t xml:space="preserve"> </w:t>
      </w:r>
      <w:r w:rsidR="009D3E63">
        <w:t>The guidance in NIST publications is specifically targeted to U.S. federal government agencies. In its favor, the standard</w:t>
      </w:r>
      <w:r>
        <w:t xml:space="preserve"> recognizes the need to balance organizational and government requirements, usability, and privacy. </w:t>
      </w:r>
      <w:r w:rsidR="009D3E63">
        <w:t xml:space="preserve">However, in attempting to address the myriad use cases that an organization the size of the U.S. government might encounter, the complexity of having </w:t>
      </w:r>
      <w:r w:rsidR="009D3E63">
        <w:lastRenderedPageBreak/>
        <w:t xml:space="preserve">multiple identity assurance levels </w:t>
      </w:r>
      <w:r w:rsidR="00132EBC">
        <w:t xml:space="preserve">(IALs), which quantifies the risk associated with the identity proofing process, </w:t>
      </w:r>
      <w:r w:rsidR="009D3E63">
        <w:t>along with different authenticator assurance levels (NIST SP 800-63B) and federation assurance levels (NIST SP 800-63C)</w:t>
      </w:r>
      <w:r w:rsidR="00132EBC">
        <w:t xml:space="preserve"> (FALs), which quantifies the risk associated with the identity federation process,</w:t>
      </w:r>
      <w:r w:rsidR="009D3E63">
        <w:t xml:space="preserve"> makes compliance challenging. </w:t>
      </w:r>
    </w:p>
    <w:p w14:paraId="3D461633" w14:textId="518CBABA" w:rsidR="000A6003" w:rsidRDefault="009D0F65">
      <w:pPr>
        <w:pStyle w:val="Heading4"/>
      </w:pPr>
      <w:r>
        <w:t xml:space="preserve">Kantara Initiative </w:t>
      </w:r>
      <w:r w:rsidRPr="00FE3B0C">
        <w:t>Identity Assurance Framework</w:t>
      </w:r>
    </w:p>
    <w:p w14:paraId="44CE69EF" w14:textId="03A36B49" w:rsidR="000A6003" w:rsidRDefault="009D0F65">
      <w:r>
        <w:t>The Kantara Initiative</w:t>
      </w:r>
      <w:r w:rsidR="0020782E">
        <w:t>’s goal is to offer</w:t>
      </w:r>
      <w:r>
        <w:t xml:space="preserve"> a technical bridge between the technology and the standards, offering an assessment program “to a range of parties who have an interest in, and reliance upon, the degree of rigor applied to the management, operation and provisioning of electronic Identity Proofing and Credential Management services.”</w:t>
      </w:r>
    </w:p>
    <w:p w14:paraId="3DC2D3A3" w14:textId="77777777" w:rsidR="000A6003" w:rsidRDefault="000A6003"/>
    <w:p w14:paraId="3D84078E" w14:textId="1D649348" w:rsidR="000A6003" w:rsidRDefault="009D0F65">
      <w:r>
        <w:t>The Identity Assurance Framework, the core of their assessment program, is strongly aligned to ISO/IEC 17065 Conformity Assessment for products and services.</w:t>
      </w:r>
      <w:r w:rsidR="0020782E">
        <w:rPr>
          <w:rStyle w:val="FootnoteReference"/>
        </w:rPr>
        <w:footnoteReference w:id="95"/>
      </w:r>
      <w:r>
        <w:t xml:space="preserve"> The program is used by U.S. government agencies to help make purchasing decisions </w:t>
      </w:r>
      <w:r>
        <w:rPr>
          <w:color w:val="333333"/>
        </w:rPr>
        <w:t xml:space="preserve">from companies and providers certified to </w:t>
      </w:r>
      <w:proofErr w:type="gramStart"/>
      <w:r>
        <w:rPr>
          <w:color w:val="333333"/>
        </w:rPr>
        <w:t>be in compliance with</w:t>
      </w:r>
      <w:proofErr w:type="gramEnd"/>
      <w:r>
        <w:rPr>
          <w:color w:val="333333"/>
        </w:rPr>
        <w:t xml:space="preserve"> NIST SP 800-63-3</w:t>
      </w:r>
      <w:r w:rsidR="003B34DD">
        <w:rPr>
          <w:color w:val="333333"/>
        </w:rPr>
        <w:t xml:space="preserve">. </w:t>
      </w:r>
    </w:p>
    <w:p w14:paraId="33EE8993" w14:textId="77777777" w:rsidR="001D248B" w:rsidRDefault="001D248B" w:rsidP="001D248B">
      <w:pPr>
        <w:pStyle w:val="Heading4"/>
      </w:pPr>
      <w:r w:rsidRPr="001D248B">
        <w:t>OpenID Connect for Identity Assurance 1.0</w:t>
      </w:r>
    </w:p>
    <w:p w14:paraId="15669678" w14:textId="5B47E296" w:rsidR="00FF262A" w:rsidRDefault="00FF262A" w:rsidP="00FF262A">
      <w:r>
        <w:t>Looking to a more code-driven specification, the OpenID Foundation published the OpenID Connect for Identity Assurance standard in 2022.</w:t>
      </w:r>
      <w:r>
        <w:rPr>
          <w:rStyle w:val="FootnoteReference"/>
        </w:rPr>
        <w:footnoteReference w:id="96"/>
      </w:r>
      <w:r>
        <w:t xml:space="preserve"> This specification provides an extension to OIDC that allows a service to identity information along with an explicit statement about the verification status of that information, such as what framework the information was verified under and using what evidence was used at the time of verification.</w:t>
      </w:r>
    </w:p>
    <w:p w14:paraId="56BA5240" w14:textId="77777777" w:rsidR="00987E3D" w:rsidRDefault="00987E3D" w:rsidP="00FF262A"/>
    <w:p w14:paraId="218E8D60" w14:textId="1C65EF8D" w:rsidR="00D246B8" w:rsidRDefault="00987E3D" w:rsidP="00FF262A">
      <w:r>
        <w:t>This specification is in use by several national digital identity programs being developed as part of eIDAS 2.0.</w:t>
      </w:r>
      <w:r>
        <w:rPr>
          <w:rStyle w:val="FootnoteReference"/>
        </w:rPr>
        <w:footnoteReference w:id="97"/>
      </w:r>
    </w:p>
    <w:p w14:paraId="01FF36C5" w14:textId="4A90F383" w:rsidR="00D246B8" w:rsidRDefault="00D246B8" w:rsidP="00D246B8">
      <w:pPr>
        <w:pStyle w:val="Heading3"/>
      </w:pPr>
      <w:bookmarkStart w:id="149" w:name="_Toc134081065"/>
      <w:r>
        <w:t>Open Standard Identity API</w:t>
      </w:r>
      <w:r w:rsidR="009D00CD">
        <w:t>s</w:t>
      </w:r>
      <w:r>
        <w:t xml:space="preserve"> (OSIA)</w:t>
      </w:r>
      <w:bookmarkEnd w:id="149"/>
    </w:p>
    <w:p w14:paraId="754A1555" w14:textId="106211F8" w:rsidR="00D246B8" w:rsidRDefault="00D246B8" w:rsidP="00D246B8">
      <w:r>
        <w:t>In order for the technology to work together in all the ways necessary for a supportable, functional system, it needs to exist in coherent framework. This is where OSIA comes in.</w:t>
      </w:r>
      <w:r w:rsidR="009D00CD">
        <w:rPr>
          <w:rStyle w:val="FootnoteReference"/>
        </w:rPr>
        <w:footnoteReference w:id="98"/>
      </w:r>
      <w:r>
        <w:t xml:space="preserve"> </w:t>
      </w:r>
    </w:p>
    <w:p w14:paraId="3FA8C92A" w14:textId="77777777" w:rsidR="00D246B8" w:rsidRDefault="00D246B8" w:rsidP="00D246B8"/>
    <w:p w14:paraId="36E4E521" w14:textId="1FBD63C2" w:rsidR="00D246B8" w:rsidRDefault="00D246B8" w:rsidP="00D246B8">
      <w:r w:rsidRPr="00A07A73">
        <w:lastRenderedPageBreak/>
        <w:t>In 2019 multiple organizations committed to the development of national identification systems that are inclusive, trusted, and accountable and supported the development of a set of shared ‘Principles for Good Identification’.</w:t>
      </w:r>
      <w:r>
        <w:rPr>
          <w:rStyle w:val="FootnoteReference"/>
        </w:rPr>
        <w:footnoteReference w:id="99"/>
      </w:r>
    </w:p>
    <w:p w14:paraId="0636FA5C" w14:textId="77777777" w:rsidR="00D246B8" w:rsidRDefault="00D246B8" w:rsidP="00D246B8">
      <w:r w:rsidRPr="00A07A73">
        <w:br/>
        <w:t>The vision was to create a guiding framework that governments around the globe can use to ensure they build inclusive and trusted digital ID and civil registration systems that both enhance people’s lives – and empower them to gain access to social and economic opportunities.</w:t>
      </w:r>
    </w:p>
    <w:p w14:paraId="062F5DF6" w14:textId="5AA9B175" w:rsidR="00D246B8" w:rsidRDefault="00D246B8" w:rsidP="00D246B8">
      <w:r w:rsidRPr="00A07A73">
        <w:br/>
        <w:t>Principle 5</w:t>
      </w:r>
      <w:r>
        <w:t>, “[u]</w:t>
      </w:r>
      <w:r w:rsidRPr="00A07A73">
        <w:t>sing open standards and ensuring vendor and technology neutrality</w:t>
      </w:r>
      <w:r>
        <w:t>,”</w:t>
      </w:r>
      <w:r w:rsidRPr="00A07A73">
        <w:t xml:space="preserve"> enshrines the importance of enabling ID systems that utilize open standards to both achieve improved efficiencies and functionality and assure that ID systems can be evolved and adapted to accommodate changes over time. OSIA provides the open standard interfaces (APIs) that enable seamless connectivity between building blocks of the ID management system – regardless of technology, solution, architecture, or vendor.</w:t>
      </w:r>
      <w:r w:rsidR="009D00CD">
        <w:t xml:space="preserve"> The ITU-T has qualified this standard so that it may be normatively referenced in ITU-T standards.</w:t>
      </w:r>
      <w:r w:rsidR="009D00CD">
        <w:rPr>
          <w:rStyle w:val="FootnoteReference"/>
        </w:rPr>
        <w:footnoteReference w:id="100"/>
      </w:r>
      <w:r w:rsidR="009D00CD">
        <w:t xml:space="preserve"> </w:t>
      </w:r>
    </w:p>
    <w:p w14:paraId="6234653B" w14:textId="77777777" w:rsidR="00D246B8" w:rsidRDefault="00D246B8" w:rsidP="00D246B8"/>
    <w:p w14:paraId="0F1C717D" w14:textId="0DA3BDF5" w:rsidR="00D246B8" w:rsidRDefault="00D246B8" w:rsidP="00D246B8">
      <w:r w:rsidRPr="00A07A73">
        <w:t xml:space="preserve">A </w:t>
      </w:r>
      <w:r>
        <w:t xml:space="preserve">government-issued </w:t>
      </w:r>
      <w:r w:rsidRPr="00A07A73">
        <w:t xml:space="preserve">digital credential, be it a driving license, an ID </w:t>
      </w:r>
      <w:r w:rsidR="00CA2B0C" w:rsidRPr="00A07A73">
        <w:t>card,</w:t>
      </w:r>
      <w:r w:rsidRPr="00A07A73">
        <w:t xml:space="preserve"> or a passport, is only the tip of the iceberg of the complex set of building blocks necessary to safely issue the credential to the citizen’s wallet.</w:t>
      </w:r>
    </w:p>
    <w:p w14:paraId="513A6ED9" w14:textId="5DBB094A" w:rsidR="00D246B8" w:rsidRDefault="00D246B8" w:rsidP="00D246B8">
      <w:r w:rsidRPr="00A07A73">
        <w:br/>
        <w:t>All those building blocks handle the collection of personal data from the citizens, biographic and/or biometrics, its treatment to ensure identity unicity and potentially its storage</w:t>
      </w:r>
      <w:r w:rsidR="00C65BEF">
        <w:t xml:space="preserve">. </w:t>
      </w:r>
      <w:r w:rsidRPr="00A07A73">
        <w:t xml:space="preserve">Below is a </w:t>
      </w:r>
      <w:r w:rsidRPr="009D00CD">
        <w:t>standardize</w:t>
      </w:r>
      <w:r w:rsidR="00D704E2">
        <w:t>d</w:t>
      </w:r>
      <w:r w:rsidRPr="009D00CD">
        <w:t xml:space="preserve"> view of the national identification systems building blocks</w:t>
      </w:r>
      <w:r w:rsidRPr="00A07A73">
        <w:t xml:space="preserve"> from OSIA standard.</w:t>
      </w:r>
      <w:r w:rsidR="009D00CD">
        <w:rPr>
          <w:rStyle w:val="FootnoteReference"/>
        </w:rPr>
        <w:footnoteReference w:id="101"/>
      </w:r>
    </w:p>
    <w:p w14:paraId="49BB5BA4" w14:textId="77777777" w:rsidR="00D246B8" w:rsidRDefault="00D246B8" w:rsidP="00D246B8"/>
    <w:p w14:paraId="33B77021" w14:textId="77777777" w:rsidR="00D246B8" w:rsidRDefault="00D246B8" w:rsidP="00D246B8"/>
    <w:p w14:paraId="1F557BC1" w14:textId="77777777" w:rsidR="00D246B8" w:rsidRDefault="00D246B8" w:rsidP="00D246B8">
      <w:r>
        <w:rPr>
          <w:noProof/>
        </w:rPr>
        <w:lastRenderedPageBreak/>
        <w:drawing>
          <wp:inline distT="0" distB="0" distL="0" distR="0" wp14:anchorId="57CFDB68" wp14:editId="5C21055D">
            <wp:extent cx="5943600" cy="2802890"/>
            <wp:effectExtent l="0" t="0" r="0" b="3810"/>
            <wp:docPr id="68755034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0341" name="Picture 1" descr="Graphical user interfac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5943600" cy="2802890"/>
                    </a:xfrm>
                    <a:prstGeom prst="rect">
                      <a:avLst/>
                    </a:prstGeom>
                  </pic:spPr>
                </pic:pic>
              </a:graphicData>
            </a:graphic>
          </wp:inline>
        </w:drawing>
      </w:r>
    </w:p>
    <w:p w14:paraId="2D7965D1" w14:textId="77777777" w:rsidR="00D246B8" w:rsidRDefault="00D246B8" w:rsidP="00D246B8"/>
    <w:p w14:paraId="6D7330F8" w14:textId="772A81F1" w:rsidR="00662C9A" w:rsidRPr="00FF262A" w:rsidRDefault="00D246B8" w:rsidP="00FF262A">
      <w:r w:rsidRPr="00A07A73">
        <w:t>As per eIDAS 2.0, National Identification Systems represent the root of trust from which the PID can be derived and issued to digital ID wallets. While today there is no selected standard for the PID issuance protocol, OSIA standard can help the PID provider to tap into relevant databases and systems to collect the PID and proceed with the issuance.</w:t>
      </w:r>
      <w:r w:rsidRPr="00A07A73">
        <w:br/>
      </w:r>
      <w:r w:rsidRPr="00A07A73">
        <w:br/>
        <w:t xml:space="preserve">Already implemented in </w:t>
      </w:r>
      <w:r w:rsidR="009D00CD">
        <w:t>several</w:t>
      </w:r>
      <w:r w:rsidRPr="00A07A73">
        <w:t xml:space="preserve"> countries, OSIA scope is as follow:</w:t>
      </w:r>
      <w:r w:rsidRPr="00A07A73">
        <w:br/>
      </w:r>
      <w:r w:rsidRPr="00A07A73">
        <w:br/>
      </w:r>
      <w:r w:rsidRPr="00A07A73">
        <w:rPr>
          <w:b/>
          <w:bCs/>
        </w:rPr>
        <w:t>1.</w:t>
      </w:r>
      <w:r w:rsidRPr="00A07A73">
        <w:t xml:space="preserve"> </w:t>
      </w:r>
      <w:r w:rsidRPr="00A07A73">
        <w:rPr>
          <w:b/>
          <w:bCs/>
        </w:rPr>
        <w:t>Build a common understanding of the functional scope for building blocks of the national identity management system</w:t>
      </w:r>
      <w:r w:rsidRPr="00A07A73">
        <w:br/>
        <w:t>OSIA’s first step has been to formalize the definitions, scope, and main functionalities of each building block within the identity management system.</w:t>
      </w:r>
      <w:r w:rsidRPr="00A07A73">
        <w:br/>
      </w:r>
      <w:r w:rsidRPr="00A07A73">
        <w:br/>
      </w:r>
      <w:r w:rsidRPr="00A07A73">
        <w:rPr>
          <w:b/>
          <w:bCs/>
        </w:rPr>
        <w:t>2.</w:t>
      </w:r>
      <w:r w:rsidRPr="00A07A73">
        <w:t xml:space="preserve"> </w:t>
      </w:r>
      <w:r w:rsidRPr="00A07A73">
        <w:rPr>
          <w:b/>
          <w:bCs/>
        </w:rPr>
        <w:t>Create a set of standardized interfaces</w:t>
      </w:r>
      <w:r w:rsidRPr="00A07A73">
        <w:br/>
        <w:t>For this core piece of work, OSIA is focused on developing the set of interfaces needed to connect the multiple identity system building blocks and ensure seamless interactions via pre-defined services.</w:t>
      </w:r>
    </w:p>
    <w:p w14:paraId="75871FE5" w14:textId="77777777" w:rsidR="00662C9A" w:rsidRDefault="00662C9A">
      <w:pPr>
        <w:spacing w:line="276" w:lineRule="auto"/>
        <w:rPr>
          <w:sz w:val="40"/>
          <w:szCs w:val="40"/>
        </w:rPr>
      </w:pPr>
      <w:r>
        <w:br w:type="page"/>
      </w:r>
    </w:p>
    <w:p w14:paraId="0D22B4D2" w14:textId="34C7F177" w:rsidR="000A6003" w:rsidRDefault="009D0F65">
      <w:pPr>
        <w:pStyle w:val="Heading1"/>
      </w:pPr>
      <w:bookmarkStart w:id="150" w:name="_Toc134081066"/>
      <w:r>
        <w:lastRenderedPageBreak/>
        <w:t>Gaps and Risks</w:t>
      </w:r>
      <w:bookmarkEnd w:id="150"/>
    </w:p>
    <w:p w14:paraId="077F94CA" w14:textId="0BCC34BC" w:rsidR="000A6003" w:rsidRDefault="009D0F65">
      <w:r>
        <w:t xml:space="preserve">Even working from positive intentions, </w:t>
      </w:r>
      <w:proofErr w:type="gramStart"/>
      <w:r>
        <w:t>regulations</w:t>
      </w:r>
      <w:proofErr w:type="gramEnd"/>
      <w:r>
        <w:t xml:space="preserve"> and technologies struggle to manage the risks to privacy that come from the integration of digital and real-world identities. In the case of regulation, the challenge comes from trying to find a balance between competing</w:t>
      </w:r>
      <w:r w:rsidR="008B4CA0">
        <w:t xml:space="preserve"> operational</w:t>
      </w:r>
      <w:r>
        <w:t xml:space="preserve"> requirements</w:t>
      </w:r>
      <w:r w:rsidR="008B4CA0">
        <w:t>, human nature,</w:t>
      </w:r>
      <w:r>
        <w:t xml:space="preserve"> and technological limitations. In the technical standards community, specifying in the technology what are essentially moral and ethical choices is nearly impossible without resorting to significant bias towards one culture or another. Complicating matters are individual expectations when it comes to when and how they are expected to use their credentials.</w:t>
      </w:r>
    </w:p>
    <w:p w14:paraId="447BBB36" w14:textId="77777777" w:rsidR="000A6003" w:rsidRDefault="000A6003"/>
    <w:p w14:paraId="2F812804" w14:textId="128BACB5" w:rsidR="000A6003" w:rsidRDefault="009D0F65">
      <w:r>
        <w:t>There is room for improvement on both sides, but it requires awareness on both sides on how to leverage the strengths of each party to cover the limitations inherent in their areas of control.</w:t>
      </w:r>
      <w:r w:rsidR="005D70F0">
        <w:t xml:space="preserve"> </w:t>
      </w:r>
    </w:p>
    <w:p w14:paraId="7DFDDDC1" w14:textId="77777777" w:rsidR="00AD466E" w:rsidRDefault="00AD466E"/>
    <w:p w14:paraId="6E7CF12E" w14:textId="1FE49E3A" w:rsidR="00AD466E" w:rsidRDefault="00AD466E">
      <w:r>
        <w:t>This section examines some of the gaps introduced by competing motivations and the limits of what technology and regulation can realistically do to support privacy when using government-issued digital credentials.</w:t>
      </w:r>
    </w:p>
    <w:p w14:paraId="08E8E771" w14:textId="77777777" w:rsidR="000A6003" w:rsidRDefault="009D0F65">
      <w:pPr>
        <w:pStyle w:val="Heading2"/>
      </w:pPr>
      <w:bookmarkStart w:id="151" w:name="_Toc134081067"/>
      <w:r>
        <w:t>Recognizing Motivations at Scale</w:t>
      </w:r>
      <w:bookmarkEnd w:id="151"/>
    </w:p>
    <w:p w14:paraId="6A038030" w14:textId="77777777" w:rsidR="000A6003" w:rsidRDefault="009D0F65">
      <w:r>
        <w:t>When considering government-issued digital credentials on a global scale, we must recognize that while the desire for digital transformation is the same, the impetus driving those desires are quite different. This leads to a different weight being placed on each factor as they are considered before establishing a service.</w:t>
      </w:r>
    </w:p>
    <w:p w14:paraId="23599CBD" w14:textId="77777777" w:rsidR="000A6003" w:rsidRDefault="000A6003"/>
    <w:p w14:paraId="3FDEB655" w14:textId="6B6038F1" w:rsidR="000A6003" w:rsidRDefault="009D0F65">
      <w:r>
        <w:t xml:space="preserve">Developing countries </w:t>
      </w:r>
      <w:r w:rsidR="00AB2CE2">
        <w:t xml:space="preserve">often </w:t>
      </w:r>
      <w:r>
        <w:t xml:space="preserve">see digital identity and strong levels of identity assurance as a necessary enabler allowing people to engage in economic opportunities. In more robust economies, digital identity is </w:t>
      </w:r>
      <w:r w:rsidR="00AB2CE2">
        <w:t xml:space="preserve">often viewed as </w:t>
      </w:r>
      <w:r>
        <w:t>more of a convenience; the depth and breadth of citizen-supporting infrastructure has been sufficient enough to stand on its own without major technological enhancements</w:t>
      </w:r>
      <w:r w:rsidR="00AD466E">
        <w:t xml:space="preserve"> (though of course some improvements have been required to move forward)</w:t>
      </w:r>
      <w:r>
        <w:t xml:space="preserve">. </w:t>
      </w:r>
      <w:r w:rsidR="00AD466E">
        <w:t>The belief of digital identity as solely an enabler of economic opportunity or a convenience in a modern world</w:t>
      </w:r>
      <w:r>
        <w:t xml:space="preserve"> is changing</w:t>
      </w:r>
      <w:r w:rsidR="00AD466E">
        <w:t>; the change is being</w:t>
      </w:r>
      <w:r>
        <w:t xml:space="preserve"> driven by a world where the lines between “online” and “offline” are blurring thanks to the </w:t>
      </w:r>
      <w:r w:rsidR="0060078B">
        <w:t xml:space="preserve">prevalence </w:t>
      </w:r>
      <w:r>
        <w:t>of mobile devices</w:t>
      </w:r>
      <w:r w:rsidR="00AB2CE2">
        <w:t xml:space="preserve"> and the increase of identity-related cybercrime and fraud</w:t>
      </w:r>
      <w:r>
        <w:t>.</w:t>
      </w:r>
    </w:p>
    <w:p w14:paraId="5E05B325" w14:textId="77777777" w:rsidR="000A6003" w:rsidRDefault="000A6003"/>
    <w:p w14:paraId="403C99A4" w14:textId="36236EC8" w:rsidR="000A6003" w:rsidRDefault="009D0F65">
      <w:r>
        <w:t>The fact that the motivations are varied is important because any effort to address the risks and gaps in the system will also vary in response to what is driving the effort. If the primary driver is financial, for example, then addressing the privacy risk must be framed as an economic benefit. If the primary driver is convenience, then the expectations of the individual users drive the experience and the demand. And in all cases, the requirements of regulation and the capability of technology frame the possible.</w:t>
      </w:r>
    </w:p>
    <w:p w14:paraId="6FDEEEEF" w14:textId="77777777" w:rsidR="000A6003" w:rsidRDefault="009D0F65">
      <w:pPr>
        <w:pStyle w:val="Heading3"/>
      </w:pPr>
      <w:bookmarkStart w:id="152" w:name="_Toc134081068"/>
      <w:r>
        <w:lastRenderedPageBreak/>
        <w:t>Hyper-local Expectations</w:t>
      </w:r>
      <w:bookmarkEnd w:id="152"/>
    </w:p>
    <w:p w14:paraId="5681362B" w14:textId="00E0C95E" w:rsidR="000A6003" w:rsidRDefault="009D0F65">
      <w:r>
        <w:t>The motivation</w:t>
      </w:r>
      <w:r w:rsidR="000E12A1">
        <w:t>s</w:t>
      </w:r>
      <w:r>
        <w:t xml:space="preserve"> driving governments are often considered at the scale of entire countries or regions. </w:t>
      </w:r>
      <w:r w:rsidR="000E12A1">
        <w:t>That said, t</w:t>
      </w:r>
      <w:r>
        <w:t xml:space="preserve">here are also relevant motivations driving the parties consuming these credentials and the individuals using them. </w:t>
      </w:r>
      <w:r w:rsidR="000E12A1">
        <w:t>Businesses, organizations, and even individuals</w:t>
      </w:r>
      <w:r>
        <w:t xml:space="preserve"> must consider the benefits of </w:t>
      </w:r>
      <w:r w:rsidR="003B7CF7">
        <w:t>using</w:t>
      </w:r>
      <w:r>
        <w:t xml:space="preserve"> high-value, government-validated information against the risks of this information being used in unexpected</w:t>
      </w:r>
      <w:r w:rsidR="003B7CF7">
        <w:t>, unintended,</w:t>
      </w:r>
      <w:r>
        <w:t xml:space="preserve"> and possibly inappropriate ways. </w:t>
      </w:r>
    </w:p>
    <w:p w14:paraId="7A7DD55D" w14:textId="77777777" w:rsidR="00B56BFD" w:rsidRDefault="00B56BFD"/>
    <w:p w14:paraId="72885FF6" w14:textId="78FFB1F3" w:rsidR="00B56BFD" w:rsidRDefault="00C5772E" w:rsidP="00B56BFD">
      <w:pPr>
        <w:pStyle w:val="Quote"/>
        <w:jc w:val="left"/>
      </w:pPr>
      <w:r>
        <w:t>“</w:t>
      </w:r>
      <w:r w:rsidR="00B56BFD">
        <w:t>Inherent in the capture, storage, and use of sensitive personal data are risks associated with privacy violations, data theft and misuse, identity fraud, and discrimination.</w:t>
      </w:r>
      <w:r>
        <w:t>”</w:t>
      </w:r>
      <w:r w:rsidR="00B56BFD">
        <w:t xml:space="preserve"> – The World Bank Identification For Development Program</w:t>
      </w:r>
      <w:r w:rsidR="00B56BFD">
        <w:rPr>
          <w:rStyle w:val="FootnoteReference"/>
        </w:rPr>
        <w:footnoteReference w:id="102"/>
      </w:r>
    </w:p>
    <w:p w14:paraId="5B706CE5" w14:textId="1BC835F1" w:rsidR="000A6003" w:rsidRDefault="000A6003"/>
    <w:p w14:paraId="33746387" w14:textId="63E31980" w:rsidR="00FD1507" w:rsidRDefault="009D0F65" w:rsidP="00F45176">
      <w:r>
        <w:t xml:space="preserve">When every entity involved in a transaction using a government-issued digital credential has a responsibility for </w:t>
      </w:r>
      <w:r w:rsidR="00FD1507">
        <w:t xml:space="preserve">an </w:t>
      </w:r>
      <w:r>
        <w:t>individual</w:t>
      </w:r>
      <w:r w:rsidR="00FD1507">
        <w:t>’s</w:t>
      </w:r>
      <w:r>
        <w:t xml:space="preserve"> privacy, </w:t>
      </w:r>
      <w:r w:rsidR="00FD1507">
        <w:t xml:space="preserve">they all bring their own expectations and requirements into the user experience. This often results </w:t>
      </w:r>
      <w:r w:rsidR="00E72403">
        <w:t>a privacy paradox between individuals’ stated privacy preferences and their actual disclosure behavior</w:t>
      </w:r>
      <w:r w:rsidR="00FD1507">
        <w:t>.</w:t>
      </w:r>
      <w:r w:rsidR="00E72403">
        <w:rPr>
          <w:rStyle w:val="FootnoteReference"/>
        </w:rPr>
        <w:footnoteReference w:id="103"/>
      </w:r>
      <w:r w:rsidR="00FD1507">
        <w:t xml:space="preserve"> </w:t>
      </w:r>
    </w:p>
    <w:p w14:paraId="065B4AFF" w14:textId="49531C7B" w:rsidR="000A6003" w:rsidRDefault="009D0F65">
      <w:pPr>
        <w:pStyle w:val="Heading2"/>
      </w:pPr>
      <w:bookmarkStart w:id="153" w:name="_Toc134081069"/>
      <w:r>
        <w:t xml:space="preserve">The </w:t>
      </w:r>
      <w:r w:rsidR="001D248B">
        <w:t>Limits of Technology</w:t>
      </w:r>
      <w:bookmarkEnd w:id="153"/>
    </w:p>
    <w:p w14:paraId="7758C597" w14:textId="1A5628CE" w:rsidR="000A6003" w:rsidRDefault="009D0F65">
      <w:r>
        <w:t xml:space="preserve">Government-issued digital credentials rely on various technology standards and tools, but the field of adoption is both wide, with multiple protocols being implemented, and narrow, in that there are only a few </w:t>
      </w:r>
      <w:r w:rsidR="00072C82">
        <w:t xml:space="preserve">mobile </w:t>
      </w:r>
      <w:r>
        <w:t xml:space="preserve">platforms on which these tools can be used. </w:t>
      </w:r>
      <w:r w:rsidR="00072C82">
        <w:t>In many cases, the technical standards are open to a variety of implementations that may result in more confusion rather than greater interoperability.</w:t>
      </w:r>
      <w:r w:rsidR="00072C82">
        <w:rPr>
          <w:rStyle w:val="FootnoteReference"/>
        </w:rPr>
        <w:footnoteReference w:id="104"/>
      </w:r>
      <w:r w:rsidR="00072C82">
        <w:t xml:space="preserve"> Overall, t</w:t>
      </w:r>
      <w:r>
        <w:t xml:space="preserve">he tools are complex, leaving </w:t>
      </w:r>
      <w:r w:rsidR="00AB2CE2">
        <w:t xml:space="preserve">some </w:t>
      </w:r>
      <w:r>
        <w:t>implementations problematic from a privacy perspective.</w:t>
      </w:r>
    </w:p>
    <w:p w14:paraId="2366A208" w14:textId="77777777" w:rsidR="003C04AC" w:rsidRDefault="003C04AC"/>
    <w:p w14:paraId="6E97FFFA" w14:textId="04A4474E" w:rsidR="003C04AC" w:rsidRDefault="003C04AC" w:rsidP="003C04AC">
      <w:r>
        <w:t>The technology supporting digital identity credentials exists in a difficult grey area. If a service can see data, as it may during authentication and authorization moments, they can store it and use it, possibly correlate it, or even sell it at any future date. While single components may not themselves identify an individual, when they are combined from multiple systems and interactions, identification may happen.</w:t>
      </w:r>
    </w:p>
    <w:p w14:paraId="23A13176" w14:textId="77777777" w:rsidR="000A6003" w:rsidRDefault="000A6003"/>
    <w:p w14:paraId="035A7E67" w14:textId="68290C67" w:rsidR="000A6003" w:rsidRDefault="009D0F65">
      <w:r>
        <w:t>This section takes a high-level look at some of the privacy-related issues affecting these credentials via the technology itself.</w:t>
      </w:r>
    </w:p>
    <w:p w14:paraId="41AFD650" w14:textId="77777777" w:rsidR="000A6003" w:rsidRDefault="009D0F65">
      <w:pPr>
        <w:pStyle w:val="Heading3"/>
      </w:pPr>
      <w:bookmarkStart w:id="154" w:name="_Toc134081070"/>
      <w:r>
        <w:lastRenderedPageBreak/>
        <w:t>Intrinsic Limitations of Protocols</w:t>
      </w:r>
      <w:bookmarkEnd w:id="154"/>
    </w:p>
    <w:p w14:paraId="2F87E4CB" w14:textId="7668307D" w:rsidR="000A6003" w:rsidRDefault="009D0F65">
      <w:r>
        <w:t>While the digital landscape is dependent on technology, technology cannot solve all the challenges any more than laws and regulations can protect for all use cases. Technology must support strict regulatory environments where all transactions must be logged, audited, and controlled, while also supporting consumer environments where transactions should be entirely at the discretion of the individual. Offline and remote scenarios are also challenging as any dependency on real-time validation is impossible. Technology can mitigate the risk of a credential being inappropriately used by a bad actor, but it cannot negate that risk entirely.</w:t>
      </w:r>
    </w:p>
    <w:p w14:paraId="29D3EC37" w14:textId="77777777" w:rsidR="000A6003" w:rsidRDefault="009D0F65">
      <w:pPr>
        <w:pStyle w:val="Heading3"/>
      </w:pPr>
      <w:bookmarkStart w:id="155" w:name="_Toc133680979"/>
      <w:bookmarkStart w:id="156" w:name="_Toc133681079"/>
      <w:bookmarkStart w:id="157" w:name="_Toc133988954"/>
      <w:bookmarkStart w:id="158" w:name="_Toc133989039"/>
      <w:bookmarkStart w:id="159" w:name="_Toc133989124"/>
      <w:bookmarkStart w:id="160" w:name="_Toc133989208"/>
      <w:bookmarkStart w:id="161" w:name="_Toc133989293"/>
      <w:bookmarkStart w:id="162" w:name="_Toc134081071"/>
      <w:bookmarkEnd w:id="155"/>
      <w:bookmarkEnd w:id="156"/>
      <w:bookmarkEnd w:id="157"/>
      <w:bookmarkEnd w:id="158"/>
      <w:bookmarkEnd w:id="159"/>
      <w:bookmarkEnd w:id="160"/>
      <w:bookmarkEnd w:id="161"/>
      <w:r>
        <w:t>Biometrics Technologies</w:t>
      </w:r>
      <w:bookmarkEnd w:id="162"/>
    </w:p>
    <w:p w14:paraId="0C42619F" w14:textId="3822F936" w:rsidR="008E3037" w:rsidRDefault="009D0F65">
      <w:r>
        <w:t>Biometrics, particularly facial recognition, are increasingly popular as a way to match an individual to their digital credentials.</w:t>
      </w:r>
      <w:r>
        <w:rPr>
          <w:vertAlign w:val="superscript"/>
        </w:rPr>
        <w:footnoteReference w:id="105"/>
      </w:r>
      <w:r>
        <w:t xml:space="preserve"> The convenience for the individual, when everything works as the developers expect, is high. Governments often find facial recognition to be the simplest way for </w:t>
      </w:r>
      <w:r w:rsidR="004E4C4F">
        <w:t>people</w:t>
      </w:r>
      <w:r>
        <w:t xml:space="preserve"> to take advantage of the new online tools and services governments are offering, and also a powerful way to minimize fraud by tightly coupling something the person is to something they have. The accuracy of </w:t>
      </w:r>
      <w:r w:rsidR="00F15FE4">
        <w:t>some</w:t>
      </w:r>
      <w:r>
        <w:t xml:space="preserve"> systems, however, remains problematic. </w:t>
      </w:r>
    </w:p>
    <w:p w14:paraId="1E4CA331" w14:textId="77777777" w:rsidR="008E3037" w:rsidRDefault="008E3037"/>
    <w:p w14:paraId="4219B04E" w14:textId="3AF6BAEC" w:rsidR="000A6003" w:rsidRDefault="00132EBC">
      <w:r>
        <w:t>Biometrics is the automated recognition of individuals based on their biological and behavioral characteristics and is probabilistic.</w:t>
      </w:r>
      <w:r w:rsidR="00206398">
        <w:rPr>
          <w:rStyle w:val="FootnoteReference"/>
        </w:rPr>
        <w:footnoteReference w:id="106"/>
      </w:r>
      <w:r>
        <w:t xml:space="preserve"> All biometric systems will generate Type I (false match) and Type II (false non-match) errors and the use case, sample quality, environment, and demographics, to name a few, are contributing factors. Covert, non-cooperative surveillance applications of facial recognition where cameras operate in unconstrained environments, at odd angles, at long distances will yield different error rates than a border-crossing </w:t>
      </w:r>
      <w:proofErr w:type="spellStart"/>
      <w:r>
        <w:t>eGate</w:t>
      </w:r>
      <w:proofErr w:type="spellEnd"/>
      <w:r>
        <w:t xml:space="preserve"> where the subject opted-in to be recognized at a fixed distance in a controlled environment, for example, v</w:t>
      </w:r>
      <w:r w:rsidR="009D0F65">
        <w:t>erification services such as phone apps still struggle with the full range of the human phenotype.</w:t>
      </w:r>
      <w:r w:rsidR="009D0F65">
        <w:rPr>
          <w:vertAlign w:val="superscript"/>
        </w:rPr>
        <w:footnoteReference w:id="107"/>
      </w:r>
      <w:r>
        <w:t xml:space="preserve"> Selfie photos often suffer from harsh lighting conditions, fish-eye affect (subject to close), or occlusion (hat, dark glasses, etc.) and the reference photo, if not an authoritative source, could impact both the matching accuracy and identity fraud risk (e.g., photo morphing).</w:t>
      </w:r>
    </w:p>
    <w:p w14:paraId="6E8D6E42" w14:textId="77777777" w:rsidR="000A6003" w:rsidRDefault="000A6003"/>
    <w:p w14:paraId="162A3F6A" w14:textId="5F6CD7B6" w:rsidR="005E6911" w:rsidRDefault="009D0F65">
      <w:r>
        <w:t xml:space="preserve">The convenience for individuals when authenticating to systems with biometrics is significant, but the technology comes with significant privacy concerns. </w:t>
      </w:r>
      <w:r w:rsidR="005E6911">
        <w:t xml:space="preserve">In those scenarios </w:t>
      </w:r>
      <w:r w:rsidR="005E6911">
        <w:lastRenderedPageBreak/>
        <w:t>where the biometric data leaves the device, c</w:t>
      </w:r>
      <w:r>
        <w:t>ollecting and storing the details of individual biometrics is a significant privacy risk if the data is not properly secured</w:t>
      </w:r>
      <w:r w:rsidR="005E6911">
        <w:t>. There are even more concerns if the biometric data is used by third-party systems as the sole authenticator, checking the data against a central repository to determine if an individual is approved or explicitly disallowed in some manner</w:t>
      </w:r>
      <w:r>
        <w:t>.</w:t>
      </w:r>
      <w:r w:rsidR="005E6911">
        <w:rPr>
          <w:rStyle w:val="FootnoteReference"/>
        </w:rPr>
        <w:footnoteReference w:id="108"/>
      </w:r>
      <w:r>
        <w:t xml:space="preserve"> </w:t>
      </w:r>
    </w:p>
    <w:p w14:paraId="4C66C173" w14:textId="77777777" w:rsidR="005E6911" w:rsidRDefault="005E6911"/>
    <w:p w14:paraId="42CBD695" w14:textId="7B4FB26C" w:rsidR="000A6003" w:rsidRDefault="00507F92">
      <w:r>
        <w:t>While not directly a privacy concern, the challenge in changing biometric data does lead to related concerns of usability and security. It is relatively easy to change a password; it is often more difficult to change biometrics. There is ongoing research on the concept of biohashing and revocable biometrics, but the extent of the use of these techniques by governments is unclear.</w:t>
      </w:r>
      <w:r>
        <w:rPr>
          <w:vertAlign w:val="superscript"/>
        </w:rPr>
        <w:footnoteReference w:id="109"/>
      </w:r>
      <w:r>
        <w:t xml:space="preserve"> </w:t>
      </w:r>
    </w:p>
    <w:p w14:paraId="20F3EEAB" w14:textId="77777777" w:rsidR="000A6003" w:rsidRDefault="000A6003"/>
    <w:p w14:paraId="4917D61C" w14:textId="4DE6EBA4" w:rsidR="000A6003" w:rsidRDefault="009D0F65">
      <w:r>
        <w:t xml:space="preserve">In the U.S., there are no national-level privacy laws, nor </w:t>
      </w:r>
      <w:r w:rsidR="005E6911">
        <w:t xml:space="preserve">national </w:t>
      </w:r>
      <w:r>
        <w:t>ones specific to biometrics.</w:t>
      </w:r>
      <w:r w:rsidR="003818D4">
        <w:rPr>
          <w:rStyle w:val="FootnoteReference"/>
        </w:rPr>
        <w:footnoteReference w:id="110"/>
      </w:r>
      <w:r>
        <w:t xml:space="preserve"> Individual states are passing their own laws for companies operating in their state. In Illinois, for example, the Biometrics Information Privacy Act, originally enacted in 2008, focuses on concerns regarding the abuse of biometrics and associated privacy implications. This act, however, excludes state and local governments and their contractors. </w:t>
      </w:r>
    </w:p>
    <w:p w14:paraId="327DCEA8" w14:textId="77777777" w:rsidR="000A6003" w:rsidRDefault="000A6003"/>
    <w:p w14:paraId="1F6DDEBF" w14:textId="7C86EE02" w:rsidR="000A6003" w:rsidRDefault="009D0F65">
      <w:r>
        <w:t>Even in Europe with the GDPR, member states may require different protections for biometric data.</w:t>
      </w:r>
      <w:r>
        <w:rPr>
          <w:vertAlign w:val="superscript"/>
        </w:rPr>
        <w:footnoteReference w:id="111"/>
      </w:r>
      <w:r>
        <w:t xml:space="preserve"> There are also broad provisions that allow EU </w:t>
      </w:r>
      <w:r w:rsidR="005256E7">
        <w:t>m</w:t>
      </w:r>
      <w:r>
        <w:t xml:space="preserve">ember </w:t>
      </w:r>
      <w:r w:rsidR="005256E7">
        <w:t>s</w:t>
      </w:r>
      <w:r>
        <w:t>tates to process personal data without consent if there is a “national security,” “defense,” or “public security” concern, terms that are at best poorly defined.</w:t>
      </w:r>
      <w:r>
        <w:rPr>
          <w:vertAlign w:val="superscript"/>
        </w:rPr>
        <w:footnoteReference w:id="112"/>
      </w:r>
    </w:p>
    <w:p w14:paraId="55070573" w14:textId="77777777" w:rsidR="000A6003" w:rsidRDefault="000A6003"/>
    <w:p w14:paraId="0968F23C" w14:textId="26546EAA" w:rsidR="000A6003" w:rsidRDefault="009D0F65">
      <w:r>
        <w:t>Ultimately, while biometrics are heavily used by governments to tie the credential with the individual, the details of their protections and the associated risk of their use is a major concern to many.</w:t>
      </w:r>
      <w:r w:rsidR="000E24FD">
        <w:t xml:space="preserve"> The fact that governments may also use biometric recognition on a large scale to identify individuals outside of specific transactions (a “one-to-many” comparison) is out of scope for this paper.</w:t>
      </w:r>
    </w:p>
    <w:p w14:paraId="1A219907" w14:textId="77777777" w:rsidR="000A6003" w:rsidRDefault="009D0F65">
      <w:pPr>
        <w:pStyle w:val="Heading3"/>
      </w:pPr>
      <w:bookmarkStart w:id="163" w:name="_Toc134081072"/>
      <w:r>
        <w:lastRenderedPageBreak/>
        <w:t>The Protocols of Authentication and Authorization</w:t>
      </w:r>
      <w:bookmarkEnd w:id="163"/>
    </w:p>
    <w:p w14:paraId="15F861FC" w14:textId="266DD304" w:rsidR="000A6003" w:rsidRDefault="009D0F65">
      <w:r>
        <w:t xml:space="preserve">As noted above, governments issuing digital credentials are focused on </w:t>
      </w:r>
      <w:r w:rsidR="00D70171">
        <w:t>a few</w:t>
      </w:r>
      <w:r>
        <w:t xml:space="preserve"> specific protocols: SAML, OAuth and OpenID Connect, and Verifiable Credentials. When it comes to privacy implications however, these protocols vary in how </w:t>
      </w:r>
      <w:r w:rsidR="00311F20">
        <w:t xml:space="preserve">they are </w:t>
      </w:r>
      <w:r>
        <w:t xml:space="preserve">documented or even understood by the protocol architects. </w:t>
      </w:r>
    </w:p>
    <w:p w14:paraId="74D3BC1D" w14:textId="77777777" w:rsidR="000A6003" w:rsidRDefault="000A6003"/>
    <w:p w14:paraId="79E48DE2" w14:textId="77777777" w:rsidR="000A6003" w:rsidRDefault="009D0F65">
      <w:r>
        <w:t>SAML was designed with privacy as a fundamental, documented part of the specification. Since the publication of SAML 1.0 in 2002, the standard included a separate document entirely focused on security and privacy.</w:t>
      </w:r>
      <w:r>
        <w:rPr>
          <w:vertAlign w:val="superscript"/>
        </w:rPr>
        <w:footnoteReference w:id="113"/>
      </w:r>
      <w:r>
        <w:t xml:space="preserve"> This has been updated with the two successive versions of SAML (1.1 and 2.0).</w:t>
      </w:r>
      <w:r>
        <w:rPr>
          <w:vertAlign w:val="superscript"/>
        </w:rPr>
        <w:footnoteReference w:id="114"/>
      </w:r>
      <w:r>
        <w:t xml:space="preserve"> It is one of the most robust treatments of privacy in any of the commonly used authentication standards.</w:t>
      </w:r>
    </w:p>
    <w:p w14:paraId="5023FFED" w14:textId="77777777" w:rsidR="000A6003" w:rsidRDefault="000A6003"/>
    <w:p w14:paraId="101E0570" w14:textId="77777777" w:rsidR="000A6003" w:rsidRDefault="009D0F65">
      <w:r>
        <w:t>For the OAuth family of specifications, developed within the IETF, a formal privacy consideration as per RFC 6793, "Privacy Considerations for Internet Protocols," is missing.</w:t>
      </w:r>
      <w:r>
        <w:rPr>
          <w:vertAlign w:val="superscript"/>
        </w:rPr>
        <w:footnoteReference w:id="115"/>
      </w:r>
      <w:r>
        <w:t xml:space="preserve"> </w:t>
      </w:r>
    </w:p>
    <w:p w14:paraId="5B683DD9" w14:textId="77777777" w:rsidR="00311F20" w:rsidRDefault="00311F20"/>
    <w:p w14:paraId="6AC34119" w14:textId="5E450DC7" w:rsidR="000A6003" w:rsidRDefault="008278C8">
      <w:r>
        <w:t xml:space="preserve">This </w:t>
      </w:r>
      <w:r w:rsidR="00C45B24">
        <w:t xml:space="preserve">may be </w:t>
      </w:r>
      <w:r>
        <w:t>because the original core specification included no identity information at all, being focused entirely on delegated authorization. That said, these specifications do include security considerations, and there are certainly privacy implications of the security of the specification leaves gaps, but even the RFC dedicated to the threats and security of the OAuth 2.0 model (“OAuth 2.0 Threat Model and Security Considerations” (RFC 6819)) does not directly refer to privacy beyond the following statement: “Note: Any implementation should consider potential privacy implications of using device identifiers.”</w:t>
      </w:r>
      <w:r>
        <w:rPr>
          <w:vertAlign w:val="superscript"/>
        </w:rPr>
        <w:footnoteReference w:id="116"/>
      </w:r>
    </w:p>
    <w:p w14:paraId="5FA54AC0" w14:textId="77777777" w:rsidR="000A6003" w:rsidRDefault="000A6003"/>
    <w:p w14:paraId="63318C74" w14:textId="1A2E7685" w:rsidR="000A6003" w:rsidRDefault="009D0F65">
      <w:r>
        <w:t xml:space="preserve">The OpenID core specification, created within the OpenID Foundation, does include a Privacy Considerations section, though most of the related specifications do not (the exception being “OpenID 2.0 to OpenID Connect Migration 1.0”). Having a privacy consideration section in the core of the specification is a positive action, though the nature of the specification itself limits some critical capabilities when it comes to all the facts of a robust privacy framework. OIDC transactions are point-in-time transactions, limiting the ability to incorporate non-functional factors into the specification. While consent and </w:t>
      </w:r>
      <w:r>
        <w:lastRenderedPageBreak/>
        <w:t xml:space="preserve">choice as well as data minimization, two of the principles included in the OECD Privacy Guidelines, are included to some extent, other principles, including purpose legitimacy, collection limitation, use, retention, and disclosure, accuracy and quality, individual participation, and information security, fall out of scope. These areas are expected to be described in policy and other </w:t>
      </w:r>
      <w:r w:rsidR="00C45B24">
        <w:t xml:space="preserve">legal or contractual frameworks </w:t>
      </w:r>
      <w:r>
        <w:t xml:space="preserve">outside the point of time of use. </w:t>
      </w:r>
    </w:p>
    <w:p w14:paraId="7EE61CC6" w14:textId="77777777" w:rsidR="000A6003" w:rsidRDefault="000A6003"/>
    <w:p w14:paraId="5CEAC194" w14:textId="77777777" w:rsidR="000A6003" w:rsidRDefault="009D0F65">
      <w:r>
        <w:t>The Verifiable Credentials specification, coming from the World Wide Web consortium, is another core specification that includes an extensive privacy considerations section.</w:t>
      </w:r>
      <w:r>
        <w:rPr>
          <w:vertAlign w:val="superscript"/>
        </w:rPr>
        <w:footnoteReference w:id="117"/>
      </w:r>
      <w:r>
        <w:t xml:space="preserve"> As a newer specification in this family, receiving much of its attention from the work in the EU on digital wallets, the supporting material such as the implementation guidelines, do not contain any special note on privacy. </w:t>
      </w:r>
    </w:p>
    <w:p w14:paraId="70AE7AAD" w14:textId="77777777" w:rsidR="00F15FE4" w:rsidRDefault="00F15FE4" w:rsidP="00F15FE4">
      <w:pPr>
        <w:pStyle w:val="Heading3"/>
      </w:pPr>
      <w:bookmarkStart w:id="164" w:name="_Toc134081073"/>
      <w:r>
        <w:t xml:space="preserve">Fast </w:t>
      </w:r>
      <w:proofErr w:type="spellStart"/>
      <w:r>
        <w:t>IDentity</w:t>
      </w:r>
      <w:proofErr w:type="spellEnd"/>
      <w:r>
        <w:t xml:space="preserve"> Online (FIDO)</w:t>
      </w:r>
      <w:bookmarkEnd w:id="164"/>
    </w:p>
    <w:p w14:paraId="70A5359B" w14:textId="77777777" w:rsidR="00F15FE4" w:rsidRDefault="00F15FE4" w:rsidP="00F15FE4">
      <w:r>
        <w:t>The FIDO Alliance and their specifications have significantly improved the security features available in the authentication process. They have defined three</w:t>
      </w:r>
      <w:r w:rsidRPr="002B548A">
        <w:t xml:space="preserve"> authentication frameworks</w:t>
      </w:r>
      <w:r>
        <w:t xml:space="preserve"> </w:t>
      </w:r>
      <w:r w:rsidRPr="002B548A">
        <w:t>and protocols:</w:t>
      </w:r>
      <w:r>
        <w:t xml:space="preserve"> the</w:t>
      </w:r>
      <w:r w:rsidRPr="002B548A">
        <w:t xml:space="preserve"> FIDO Universal Second Factor (FIDO U2F), FIDO Universal Authentication Framework (FIDO UAF) and the Client to Authenticator Protocols (CTAP). CTAP is complementary to the </w:t>
      </w:r>
      <w:r w:rsidRPr="00095237">
        <w:t>W3C’s Web Authentication (</w:t>
      </w:r>
      <w:proofErr w:type="spellStart"/>
      <w:r w:rsidRPr="00095237">
        <w:t>WebAuthn</w:t>
      </w:r>
      <w:proofErr w:type="spellEnd"/>
      <w:r w:rsidRPr="00095237">
        <w:t>) specification</w:t>
      </w:r>
      <w:r w:rsidRPr="002B548A">
        <w:t>; together, they are known as FIDO2.</w:t>
      </w:r>
      <w:r w:rsidRPr="00884362">
        <w:rPr>
          <w:vertAlign w:val="superscript"/>
        </w:rPr>
        <w:t xml:space="preserve"> </w:t>
      </w:r>
      <w:r>
        <w:rPr>
          <w:vertAlign w:val="superscript"/>
        </w:rPr>
        <w:footnoteReference w:id="118"/>
      </w:r>
    </w:p>
    <w:p w14:paraId="0D0677C5" w14:textId="77777777" w:rsidR="00F15FE4" w:rsidRDefault="00F15FE4" w:rsidP="00F15FE4"/>
    <w:p w14:paraId="37B688E5" w14:textId="66C0DC41" w:rsidR="00F15FE4" w:rsidRDefault="00F15FE4">
      <w:r>
        <w:t xml:space="preserve">Those features improve the security of authentication and include requirements for the handling of biometric data. That data must be kept on the device and under the user’s control, and the on-device application must provide unique keys for each Internet site to prevent tracking users across sites. FIDO2 is a good example of building in privacy features at the protocol layer. </w:t>
      </w:r>
    </w:p>
    <w:p w14:paraId="023F37AD" w14:textId="77777777" w:rsidR="00F15FE4" w:rsidRDefault="00F15FE4"/>
    <w:p w14:paraId="2CA2CAE1" w14:textId="5F626790" w:rsidR="00F15FE4" w:rsidRDefault="00F15FE4">
      <w:r>
        <w:t>FIDO Alliance has published their set of privacy principles that focuses on the use and implementation of FIDO credentials that is another interesting model to see how standards developments incorporate privacy perspectives.</w:t>
      </w:r>
      <w:r>
        <w:rPr>
          <w:rStyle w:val="FootnoteReference"/>
        </w:rPr>
        <w:footnoteReference w:id="119"/>
      </w:r>
    </w:p>
    <w:p w14:paraId="3511291A" w14:textId="099A3CAD" w:rsidR="000A6003" w:rsidRDefault="002A4D8E">
      <w:pPr>
        <w:pStyle w:val="Heading3"/>
      </w:pPr>
      <w:bookmarkStart w:id="165" w:name="_Toc134081074"/>
      <w:r>
        <w:t>Verifying Data</w:t>
      </w:r>
      <w:bookmarkEnd w:id="165"/>
    </w:p>
    <w:p w14:paraId="6E629838" w14:textId="77777777" w:rsidR="000A6003" w:rsidRDefault="009D0F65">
      <w:r>
        <w:t xml:space="preserve">A critical component to allowing people and organizations to trust identity information is verified claims. Verified claims provide assured identity information, but the details on how to share this information is still under development. The OpenID Foundation eKYC and Identity Assurance (eKYC &amp; IDA) working group is focused on “developing extensions to </w:t>
      </w:r>
      <w:r>
        <w:lastRenderedPageBreak/>
        <w:t xml:space="preserve">OpenID Connect that will </w:t>
      </w:r>
      <w:proofErr w:type="spellStart"/>
      <w:r>
        <w:t>standardise</w:t>
      </w:r>
      <w:proofErr w:type="spellEnd"/>
      <w:r>
        <w:t xml:space="preserve"> the communication of assured identity information, i.e. verified claims and information about how the verification was done and how the respective claims are maintained.”</w:t>
      </w:r>
      <w:r>
        <w:rPr>
          <w:vertAlign w:val="superscript"/>
        </w:rPr>
        <w:footnoteReference w:id="120"/>
      </w:r>
    </w:p>
    <w:p w14:paraId="57768B03" w14:textId="77777777" w:rsidR="000A6003" w:rsidRDefault="000A6003"/>
    <w:p w14:paraId="79BFD6DD" w14:textId="331A0534" w:rsidR="000A6003" w:rsidRDefault="009D0F65">
      <w:r>
        <w:t>The ability to support verified claims is particularly relevant to privacy</w:t>
      </w:r>
      <w:r w:rsidR="007615B3">
        <w:t xml:space="preserve">; it allows enough trust in the system that it should mitigate the perceived need to collect even more information to cross-check what is being asserted about the individual. Without the ability to programmatically verify information, </w:t>
      </w:r>
      <w:r>
        <w:t>government-issued digital credentials can</w:t>
      </w:r>
      <w:r w:rsidR="007615B3">
        <w:t>not successfully</w:t>
      </w:r>
      <w:r>
        <w:t xml:space="preserve"> meet the diversity of uses they </w:t>
      </w:r>
      <w:r w:rsidR="007615B3">
        <w:t>are expected to support</w:t>
      </w:r>
      <w:r>
        <w:t>. The work under discussion is not trying to address how organizations will use the data available in the credentials.</w:t>
      </w:r>
      <w:r>
        <w:rPr>
          <w:vertAlign w:val="superscript"/>
        </w:rPr>
        <w:footnoteReference w:id="121"/>
      </w:r>
      <w:r>
        <w:t xml:space="preserve"> Instead, this technology would allow organizations to represent information they need as well as allowing them to comply with data minimization principles.</w:t>
      </w:r>
    </w:p>
    <w:p w14:paraId="4FA2E840" w14:textId="77777777" w:rsidR="000A6003" w:rsidRDefault="009D0F65">
      <w:pPr>
        <w:spacing w:before="240" w:after="240"/>
      </w:pPr>
      <w:r>
        <w:t>The relevant specifications are still under development; until they are completed and in use, this functionality remains a gap in the technology supporting these credentials.</w:t>
      </w:r>
    </w:p>
    <w:p w14:paraId="37B4C4C7" w14:textId="77777777" w:rsidR="000A6003" w:rsidRDefault="009D0F65">
      <w:pPr>
        <w:pStyle w:val="Heading3"/>
      </w:pPr>
      <w:bookmarkStart w:id="166" w:name="_Toc134081075"/>
      <w:r>
        <w:t>Comparing the Policies in Technology</w:t>
      </w:r>
      <w:bookmarkEnd w:id="166"/>
    </w:p>
    <w:p w14:paraId="37BFE6BB" w14:textId="11E8BB11" w:rsidR="00EF28E9" w:rsidRDefault="009D0F65" w:rsidP="00EF28E9">
      <w:r>
        <w:t xml:space="preserve">Not all organizations have the same rules when it comes to what kind of credentials they will accept. This is as much a problem of technology as it is legality. The </w:t>
      </w:r>
      <w:r w:rsidR="00F577C9">
        <w:t>Open Identity Exchange (</w:t>
      </w:r>
      <w:r>
        <w:t>OIX</w:t>
      </w:r>
      <w:r w:rsidR="00F577C9">
        <w:t>)</w:t>
      </w:r>
      <w:r>
        <w:t xml:space="preserve"> is focused on what a full-scale trust framework needs to consider, from the policy to the technology. This includes how to deal with the many different constraints that may need to be applied when presenting information to a </w:t>
      </w:r>
      <w:r w:rsidR="00656AB6">
        <w:t>relying party</w:t>
      </w:r>
      <w:r>
        <w:t>. The technical policy descriptions vary enough that</w:t>
      </w:r>
      <w:r w:rsidR="00EF28E9">
        <w:t>, at least for now,</w:t>
      </w:r>
      <w:r>
        <w:t xml:space="preserve"> verification and use of credentials across industries (e.g., healthcare, financial services, education) and </w:t>
      </w:r>
      <w:r w:rsidR="00F577C9">
        <w:t>jurisdictions</w:t>
      </w:r>
      <w:r>
        <w:t xml:space="preserve"> becomes impossible.</w:t>
      </w:r>
      <w:r w:rsidR="00EF28E9">
        <w:t xml:space="preserve"> The</w:t>
      </w:r>
      <w:r>
        <w:t xml:space="preserve"> </w:t>
      </w:r>
      <w:r w:rsidR="00EF28E9">
        <w:t>OIX is exploring whether the standardization of specific credential features in the following areas could make this possible in future:</w:t>
      </w:r>
      <w:r w:rsidR="00EF28E9">
        <w:rPr>
          <w:rStyle w:val="FootnoteReference"/>
        </w:rPr>
        <w:footnoteReference w:id="122"/>
      </w:r>
    </w:p>
    <w:p w14:paraId="5803593E" w14:textId="55EA451C" w:rsidR="00EF28E9" w:rsidRDefault="00EF28E9" w:rsidP="00EF28E9">
      <w:pPr>
        <w:pStyle w:val="ListParagraph"/>
        <w:numPr>
          <w:ilvl w:val="0"/>
          <w:numId w:val="750"/>
        </w:numPr>
      </w:pPr>
      <w:r>
        <w:t>how users are proofed to receive the credential;</w:t>
      </w:r>
    </w:p>
    <w:p w14:paraId="13837A0A" w14:textId="6E4D9F4F" w:rsidR="00EF28E9" w:rsidRDefault="00EF28E9" w:rsidP="00EF28E9">
      <w:pPr>
        <w:pStyle w:val="ListParagraph"/>
        <w:numPr>
          <w:ilvl w:val="0"/>
          <w:numId w:val="750"/>
        </w:numPr>
      </w:pPr>
      <w:r>
        <w:t xml:space="preserve">how authenticators are bound and asserted to present credentials; and </w:t>
      </w:r>
    </w:p>
    <w:p w14:paraId="2CEDE4DB" w14:textId="690862D4" w:rsidR="000A6003" w:rsidRDefault="00EF28E9" w:rsidP="00095237">
      <w:pPr>
        <w:pStyle w:val="ListParagraph"/>
        <w:numPr>
          <w:ilvl w:val="0"/>
          <w:numId w:val="750"/>
        </w:numPr>
      </w:pPr>
      <w:r>
        <w:t>how data is formatted.</w:t>
      </w:r>
    </w:p>
    <w:p w14:paraId="3D7161E0" w14:textId="77777777" w:rsidR="000A6003" w:rsidRDefault="000A6003"/>
    <w:p w14:paraId="41C4B0AE" w14:textId="5A28AD5B" w:rsidR="000A6003" w:rsidRDefault="009D0F65">
      <w:r>
        <w:t>While there are various open-source policy description languages, none include passing the policy descriptions from one entity to another.</w:t>
      </w:r>
      <w:r w:rsidR="00F577C9">
        <w:rPr>
          <w:rStyle w:val="FootnoteReference"/>
        </w:rPr>
        <w:footnoteReference w:id="123"/>
      </w:r>
      <w:r>
        <w:t xml:space="preserve"> </w:t>
      </w:r>
      <w:r w:rsidR="00890CEA">
        <w:t xml:space="preserve">The authors of the OpenID Foundation’s </w:t>
      </w:r>
      <w:r w:rsidR="00890CEA" w:rsidRPr="00890CEA">
        <w:t xml:space="preserve">eKYC &amp; IDA </w:t>
      </w:r>
      <w:r w:rsidR="00890CEA">
        <w:t>Working Group’s</w:t>
      </w:r>
      <w:r w:rsidR="00890CEA" w:rsidRPr="00890CEA">
        <w:t xml:space="preserve"> “Advanced Syntax for Claims” draft have looked at writing </w:t>
      </w:r>
      <w:r w:rsidR="00890CEA">
        <w:lastRenderedPageBreak/>
        <w:t>their</w:t>
      </w:r>
      <w:r w:rsidR="00890CEA" w:rsidRPr="00890CEA">
        <w:t xml:space="preserve"> own using Rego, </w:t>
      </w:r>
      <w:proofErr w:type="spellStart"/>
      <w:r w:rsidR="00890CEA" w:rsidRPr="00890CEA">
        <w:t>JSONlogic</w:t>
      </w:r>
      <w:proofErr w:type="spellEnd"/>
      <w:r w:rsidR="00890CEA" w:rsidRPr="00890CEA">
        <w:t xml:space="preserve"> and </w:t>
      </w:r>
      <w:r w:rsidR="00890CEA">
        <w:t>possibly others</w:t>
      </w:r>
      <w:r w:rsidR="00656AB6">
        <w:t>,</w:t>
      </w:r>
      <w:r w:rsidR="00890CEA">
        <w:t xml:space="preserve"> but are still discussing next steps.</w:t>
      </w:r>
      <w:r w:rsidR="00890CEA">
        <w:rPr>
          <w:rStyle w:val="FootnoteReference"/>
        </w:rPr>
        <w:footnoteReference w:id="124"/>
      </w:r>
      <w:r w:rsidR="00890CEA">
        <w:t xml:space="preserve"> </w:t>
      </w:r>
      <w:r>
        <w:t xml:space="preserve">Verification of the credential depends on the entity doing the verification, what information </w:t>
      </w:r>
      <w:r w:rsidR="00656AB6">
        <w:t>that entity is</w:t>
      </w:r>
      <w:r>
        <w:t xml:space="preserve"> requesting out of the credential, and the format of their request. None of that can be shared today in a way that supports the basic principles of security and privacy.</w:t>
      </w:r>
    </w:p>
    <w:p w14:paraId="31BAE90A" w14:textId="77777777" w:rsidR="000A6003" w:rsidRDefault="000A6003"/>
    <w:p w14:paraId="6A8AF8B3" w14:textId="15CDB389" w:rsidR="000A6003" w:rsidRDefault="009D0F65">
      <w:r>
        <w:t>Part of the limitation is an increasing dependence on advanced cryptographic algorithms that enable more granular sharing and validation of information. Development around selective disclosure in general and zero-knowledge proofs in specific has opened up some powerful possibilities for privacy. While enabled in several test implementations, these implementations require the new algorithms be supported in the device operating system and on hardware powerful enough to handle the math.</w:t>
      </w:r>
      <w:r w:rsidR="000F5543">
        <w:rPr>
          <w:rStyle w:val="FootnoteReference"/>
        </w:rPr>
        <w:footnoteReference w:id="125"/>
      </w:r>
      <w:r w:rsidR="00890CEA">
        <w:t xml:space="preserve"> </w:t>
      </w:r>
    </w:p>
    <w:p w14:paraId="56BED62C" w14:textId="77777777" w:rsidR="000F5543" w:rsidRDefault="000F5543"/>
    <w:p w14:paraId="5EAED613" w14:textId="6F6B5A56" w:rsidR="00000127" w:rsidRDefault="000F5543">
      <w:r>
        <w:t>There are other approaches that do not require advanced cryptography, specifically hash-based approaches as are being described in the IETF’s OAuth working group draft, “Selective Disclosures for JWTs (SD JWTs).”</w:t>
      </w:r>
      <w:r w:rsidR="008869D7">
        <w:rPr>
          <w:rStyle w:val="FootnoteReference"/>
        </w:rPr>
        <w:footnoteReference w:id="126"/>
      </w:r>
    </w:p>
    <w:p w14:paraId="5EA0403D" w14:textId="45E60AD0" w:rsidR="00000127" w:rsidRDefault="00000127" w:rsidP="00000127">
      <w:pPr>
        <w:pStyle w:val="Heading3"/>
      </w:pPr>
      <w:bookmarkStart w:id="167" w:name="_Toc134081076"/>
      <w:r>
        <w:t>Data Correlation and Re-use</w:t>
      </w:r>
      <w:bookmarkEnd w:id="167"/>
    </w:p>
    <w:p w14:paraId="6227CF56" w14:textId="44514C70" w:rsidR="002D3ED5" w:rsidRDefault="002D3ED5" w:rsidP="00000127">
      <w:r>
        <w:t>The Use and Purpose Limitations found in the OECD Privacy Principles state that services should only collect the data they need for the purpose they state they are using it for. These concepts are included in several of the standards, laws, and regulations in the world. The gap comes, however, in interpretation. If an individual uses their government-issued digital credential for the purpose of travel, is it inappropriate for travel services to use that information to further enhance the individuals experience?</w:t>
      </w:r>
      <w:r w:rsidR="007E21A8">
        <w:t xml:space="preserve"> </w:t>
      </w:r>
    </w:p>
    <w:p w14:paraId="42CA2FFA" w14:textId="77777777" w:rsidR="002D3ED5" w:rsidRDefault="002D3ED5" w:rsidP="00000127"/>
    <w:p w14:paraId="2D1BB553" w14:textId="0DD1E352" w:rsidR="002D3ED5" w:rsidRDefault="002D3ED5" w:rsidP="00000127">
      <w:r>
        <w:t>The line is not always clear. Organizations interested in staying on the right side of the law include what they are legally required to in their privacy statements and end-user license agreements, but those statements are notoriously difficult to read.</w:t>
      </w:r>
      <w:r w:rsidR="00AA374F">
        <w:rPr>
          <w:rStyle w:val="FootnoteReference"/>
        </w:rPr>
        <w:footnoteReference w:id="127"/>
      </w:r>
      <w:r w:rsidR="00AA374F">
        <w:t xml:space="preserve"> As individuals encounter new ways of being identified, authenticated, and authorized, they perceive new threats to their privacy they do not know how to address.</w:t>
      </w:r>
    </w:p>
    <w:p w14:paraId="4F6DC05D" w14:textId="77777777" w:rsidR="00AA374F" w:rsidRDefault="00AA374F" w:rsidP="00000127"/>
    <w:p w14:paraId="1045C073" w14:textId="53EE2C6E" w:rsidR="00AA374F" w:rsidRDefault="00C5772E" w:rsidP="00AA374F">
      <w:pPr>
        <w:pStyle w:val="Quote"/>
        <w:jc w:val="left"/>
      </w:pPr>
      <w:r>
        <w:t>“</w:t>
      </w:r>
      <w:r w:rsidR="00AA374F" w:rsidRPr="00AA374F">
        <w:t>However, emerging travel technologies such as biometric</w:t>
      </w:r>
      <w:r w:rsidR="00AA374F">
        <w:t xml:space="preserve"> </w:t>
      </w:r>
      <w:r w:rsidR="00AA374F" w:rsidRPr="00AA374F">
        <w:t xml:space="preserve">verification at airports require the collection, use, and storage of new types of information </w:t>
      </w:r>
      <w:r w:rsidR="00AA374F" w:rsidRPr="00AA374F">
        <w:lastRenderedPageBreak/>
        <w:t>that are considered highly</w:t>
      </w:r>
      <w:r w:rsidR="00AA374F">
        <w:t xml:space="preserve"> </w:t>
      </w:r>
      <w:r w:rsidR="00AA374F" w:rsidRPr="00AA374F">
        <w:t>sensitive, such as face and retina images, fingerprints, and</w:t>
      </w:r>
      <w:r w:rsidR="00AA374F">
        <w:t xml:space="preserve"> </w:t>
      </w:r>
      <w:r w:rsidR="00AA374F" w:rsidRPr="00AA374F">
        <w:t>speech recognition (i.e., biometric data). At times, travelers</w:t>
      </w:r>
      <w:r w:rsidR="00AA374F">
        <w:t xml:space="preserve"> </w:t>
      </w:r>
      <w:r w:rsidR="00AA374F" w:rsidRPr="00AA374F">
        <w:t>may perceive that they did not have a choice to opt out from</w:t>
      </w:r>
      <w:r w:rsidR="00AA374F">
        <w:t xml:space="preserve"> </w:t>
      </w:r>
      <w:r w:rsidR="00AA374F" w:rsidRPr="00AA374F">
        <w:t>sharing their biometric data for processing at airports, or</w:t>
      </w:r>
      <w:r w:rsidR="00AA374F">
        <w:t xml:space="preserve"> </w:t>
      </w:r>
      <w:r w:rsidR="00AA374F" w:rsidRPr="00AA374F">
        <w:t>that they were not appropriately notified or asked to give</w:t>
      </w:r>
      <w:r w:rsidR="00AA374F">
        <w:t xml:space="preserve"> </w:t>
      </w:r>
      <w:r w:rsidR="00AA374F" w:rsidRPr="00AA374F">
        <w:t>consent in advance of collection and use of their biometric</w:t>
      </w:r>
      <w:r w:rsidR="00AA374F">
        <w:t xml:space="preserve"> </w:t>
      </w:r>
      <w:r w:rsidR="00AA374F" w:rsidRPr="00AA374F">
        <w:t>data (Street 2019).</w:t>
      </w:r>
      <w:r>
        <w:t>”</w:t>
      </w:r>
      <w:r w:rsidR="00AA374F">
        <w:t xml:space="preserve"> – </w:t>
      </w:r>
      <w:proofErr w:type="spellStart"/>
      <w:r w:rsidR="00AA374F">
        <w:t>Athina</w:t>
      </w:r>
      <w:proofErr w:type="spellEnd"/>
      <w:r w:rsidR="00AA374F">
        <w:t xml:space="preserve"> </w:t>
      </w:r>
      <w:proofErr w:type="spellStart"/>
      <w:r w:rsidR="00AA374F" w:rsidRPr="00AA374F">
        <w:t>Ioannou</w:t>
      </w:r>
      <w:proofErr w:type="spellEnd"/>
      <w:r w:rsidR="00AA374F" w:rsidRPr="00AA374F">
        <w:t xml:space="preserve">, </w:t>
      </w:r>
      <w:proofErr w:type="spellStart"/>
      <w:r w:rsidR="00AA374F" w:rsidRPr="00AA374F">
        <w:t>Iis</w:t>
      </w:r>
      <w:proofErr w:type="spellEnd"/>
      <w:r w:rsidR="00AA374F" w:rsidRPr="00AA374F">
        <w:t xml:space="preserve"> P. </w:t>
      </w:r>
      <w:proofErr w:type="spellStart"/>
      <w:r w:rsidR="00AA374F" w:rsidRPr="00AA374F">
        <w:t>Tussyadiah</w:t>
      </w:r>
      <w:proofErr w:type="spellEnd"/>
      <w:r w:rsidR="00AA374F" w:rsidRPr="00AA374F">
        <w:t>, and Graham Miller</w:t>
      </w:r>
      <w:r w:rsidR="00AA374F">
        <w:t>, J</w:t>
      </w:r>
      <w:r w:rsidR="00AA374F" w:rsidRPr="00AA374F">
        <w:t>ournal of Travel Research</w:t>
      </w:r>
      <w:r w:rsidR="00AA374F">
        <w:t>.</w:t>
      </w:r>
      <w:r w:rsidR="00AA374F">
        <w:rPr>
          <w:rStyle w:val="FootnoteReference"/>
        </w:rPr>
        <w:footnoteReference w:id="128"/>
      </w:r>
    </w:p>
    <w:p w14:paraId="57CB5BC9" w14:textId="77777777" w:rsidR="00AA374F" w:rsidRDefault="00AA374F" w:rsidP="00000127"/>
    <w:p w14:paraId="533250D9" w14:textId="3984E3CC" w:rsidR="00AA374F" w:rsidRDefault="00AA374F" w:rsidP="00000127">
      <w:r>
        <w:t>As with many of the gaps in the area of digital identity in general and government-issued digital credentials in specific, this gap falls in an area that</w:t>
      </w:r>
      <w:r w:rsidR="00DE7DEA">
        <w:t xml:space="preserve"> </w:t>
      </w:r>
      <w:r>
        <w:t xml:space="preserve">touches both the limits of technology and the </w:t>
      </w:r>
      <w:r w:rsidR="00DE7DEA">
        <w:t>constraints of current regulation.</w:t>
      </w:r>
    </w:p>
    <w:p w14:paraId="28EED54C" w14:textId="77777777" w:rsidR="000A6003" w:rsidRDefault="009D0F65">
      <w:pPr>
        <w:pStyle w:val="Heading2"/>
      </w:pPr>
      <w:bookmarkStart w:id="168" w:name="_Toc134081077"/>
      <w:r>
        <w:t>Protections Missing in Regulation and Standards</w:t>
      </w:r>
      <w:bookmarkEnd w:id="168"/>
    </w:p>
    <w:p w14:paraId="6D799C59" w14:textId="16816CB3" w:rsidR="000A6003" w:rsidRDefault="009D0F65">
      <w:r>
        <w:t xml:space="preserve">When it comes to government-issued digital credentials, privacy considerations are often held to literally a different standard than the private sector. This is both understandable and concerning; governments have very different requirements and responsibilities. The need for high levels of identity validation and verification with these credentials, combined with an expectation of securing </w:t>
      </w:r>
      <w:r w:rsidR="004E4C4F">
        <w:t>people’</w:t>
      </w:r>
      <w:r>
        <w:t xml:space="preserve">s data, makes implementing privacy protections uniquely challenging. </w:t>
      </w:r>
    </w:p>
    <w:p w14:paraId="6D6FF711" w14:textId="77777777" w:rsidR="000A6003" w:rsidRDefault="000A6003"/>
    <w:p w14:paraId="7B664760" w14:textId="658F4FE7" w:rsidR="000A6003" w:rsidRDefault="009D0F65">
      <w:r>
        <w:t>As an example where protections are defined in law but hold government agencies as out of scope, the Illinois Biometric Information Privacy Act (BIPA) only applies to private entities.</w:t>
      </w:r>
      <w:r>
        <w:rPr>
          <w:vertAlign w:val="superscript"/>
        </w:rPr>
        <w:footnoteReference w:id="129"/>
      </w:r>
      <w:r>
        <w:t xml:space="preserve"> State or local government agencies or the court and its members (e.g., clerk, judge, or justice) are not included.</w:t>
      </w:r>
      <w:r>
        <w:rPr>
          <w:vertAlign w:val="superscript"/>
        </w:rPr>
        <w:footnoteReference w:id="130"/>
      </w:r>
      <w:r>
        <w:t xml:space="preserve"> Alternatively, Singapore has an extensive Public Sector (Governance) Act (PSGA) laying out the requirements for security and privacy as they apply to government services. The U.S. NIST SP 800-63 falls in the middle, as it </w:t>
      </w:r>
      <w:r w:rsidR="000E24FD">
        <w:t xml:space="preserve">is mandated </w:t>
      </w:r>
      <w:r>
        <w:t xml:space="preserve">only at the federal level; states vary significantly in how they draft privacy legislation and whether it applies to government agencies at all. </w:t>
      </w:r>
    </w:p>
    <w:p w14:paraId="05360C5A" w14:textId="77777777" w:rsidR="00700A0B" w:rsidRDefault="00700A0B"/>
    <w:p w14:paraId="1DCD25FD" w14:textId="2C471152" w:rsidR="000A6003" w:rsidRDefault="00700A0B" w:rsidP="00160550">
      <w:r>
        <w:t>Several of the standards and regulations have only gone as far as to specify in-person, on-device requirements. Describing the requirements and limitations when considering remote scenarios where data may need to leave the device on which it is stored are still in draft or under discussion as noted in the review above of ISO/IEC 18013-5 and ISO/IEC 27553-2.</w:t>
      </w:r>
    </w:p>
    <w:p w14:paraId="623714FA" w14:textId="77777777" w:rsidR="000A6003" w:rsidRDefault="009D0F65">
      <w:pPr>
        <w:pStyle w:val="Heading3"/>
      </w:pPr>
      <w:bookmarkStart w:id="169" w:name="_Toc134081078"/>
      <w:r>
        <w:lastRenderedPageBreak/>
        <w:t>India’s Digital Personal Data Protection Bill 2022</w:t>
      </w:r>
      <w:bookmarkEnd w:id="169"/>
    </w:p>
    <w:p w14:paraId="762CB241" w14:textId="77777777" w:rsidR="000A6003" w:rsidRDefault="009D0F65">
      <w:r>
        <w:t>Legislative efforts to support online privacy in India include a new Digital Personal Data Protection bill under consideration by India’s parliament. This is the second effort at such a bill; Parliament dropped the earlier version in August 2022. With the Aadhaar system providing credentials to over a billion people, the concerns about how the personal data from that system and other online services will be used must be addressed in part by legal protections that give individuals recourse when it comes to protecting their data.</w:t>
      </w:r>
    </w:p>
    <w:p w14:paraId="2BBF55FC" w14:textId="77777777" w:rsidR="000A6003" w:rsidRDefault="000A6003"/>
    <w:p w14:paraId="66526D73" w14:textId="77777777" w:rsidR="000A6003" w:rsidRDefault="009D0F65">
      <w:r>
        <w:t>All legislation is the result of compromise, and the Digital Personal Data Protection bill still has privacy advocates arguing for greater protections from the government itself.</w:t>
      </w:r>
      <w:r>
        <w:rPr>
          <w:vertAlign w:val="superscript"/>
        </w:rPr>
        <w:footnoteReference w:id="131"/>
      </w:r>
      <w:r>
        <w:t xml:space="preserve"> The issue of government surveillance remains a significant concern.</w:t>
      </w:r>
      <w:r>
        <w:rPr>
          <w:vertAlign w:val="superscript"/>
        </w:rPr>
        <w:footnoteReference w:id="132"/>
      </w:r>
      <w:r>
        <w:t xml:space="preserve"> The fact that the bill explicitly excludes offline and paper-based data collection leaves the question of whether digitized paper records are protected as well.</w:t>
      </w:r>
      <w:r>
        <w:rPr>
          <w:vertAlign w:val="superscript"/>
        </w:rPr>
        <w:footnoteReference w:id="133"/>
      </w:r>
    </w:p>
    <w:p w14:paraId="033DCADE" w14:textId="77777777" w:rsidR="000A6003" w:rsidRDefault="000A6003"/>
    <w:p w14:paraId="2EC13DB6" w14:textId="4F137228" w:rsidR="000A6003" w:rsidRDefault="009D0F65">
      <w:r>
        <w:t>The bill is designed on several principles common in other regions’ privacy legislation and the OECD Privacy Guidelines, including lawfulness, fairness, transparency, purpose limitation, data minimization, accuracy, storage limitation, and accountability. But how those principles are applied when it comes to the government monitoring itself or that grey area of digitized forms is definitely a gap in the proposed protections.</w:t>
      </w:r>
    </w:p>
    <w:p w14:paraId="46694835" w14:textId="77777777" w:rsidR="000A6003" w:rsidRDefault="009D0F65">
      <w:pPr>
        <w:pStyle w:val="Heading3"/>
      </w:pPr>
      <w:bookmarkStart w:id="170" w:name="_Toc134081079"/>
      <w:r>
        <w:t>Singapore’s Personal Data Protection Act and the Public Sector (Governance) Act</w:t>
      </w:r>
      <w:bookmarkEnd w:id="170"/>
    </w:p>
    <w:p w14:paraId="5003F1F8" w14:textId="77777777" w:rsidR="000A6003" w:rsidRDefault="009D0F65">
      <w:r>
        <w:t>Singapore is one of the few nations that explicitly lays out the privacy and security requirements for the government in a clearly documented way. PDPA sets out the legal framework for data protection responsibilities in the private sector.</w:t>
      </w:r>
      <w:r>
        <w:rPr>
          <w:vertAlign w:val="superscript"/>
        </w:rPr>
        <w:footnoteReference w:id="134"/>
      </w:r>
      <w:r>
        <w:t xml:space="preserve"> The PSGA is the corresponding legal framework for the public sector.</w:t>
      </w:r>
      <w:r>
        <w:rPr>
          <w:vertAlign w:val="superscript"/>
        </w:rPr>
        <w:footnoteReference w:id="135"/>
      </w:r>
      <w:r>
        <w:t xml:space="preserve"> The levels of control are different, with the PDPA focusing on consent and the PSGA touching on more aspects of </w:t>
      </w:r>
      <w:r>
        <w:lastRenderedPageBreak/>
        <w:t>cybersecurity.</w:t>
      </w:r>
      <w:r>
        <w:rPr>
          <w:vertAlign w:val="superscript"/>
        </w:rPr>
        <w:footnoteReference w:id="136"/>
      </w:r>
      <w:r>
        <w:t xml:space="preserve"> The fact that there are separate legal frameworks is both a positive, in that it makes the privacy landscape for Singapore more transparent, and negative, in that there are significant disparities between public and private sector privacy protections.</w:t>
      </w:r>
    </w:p>
    <w:p w14:paraId="42669355" w14:textId="77777777" w:rsidR="000A6003" w:rsidRDefault="000A6003"/>
    <w:p w14:paraId="742EEE5B" w14:textId="3DF02FD2" w:rsidR="000A6003" w:rsidRDefault="009D0F65">
      <w:r>
        <w:t>As is often the case when it comes to government services, the prevalent theme is a concern regarding surveillance.</w:t>
      </w:r>
      <w:r>
        <w:rPr>
          <w:vertAlign w:val="superscript"/>
        </w:rPr>
        <w:footnoteReference w:id="137"/>
      </w:r>
      <w:r>
        <w:t xml:space="preserve"> The PSGA allows extensive data sharing between government departments without requiring use consent or even knowledge. There appears to be no legal resource for a</w:t>
      </w:r>
      <w:r w:rsidR="004E4C4F">
        <w:t xml:space="preserve">n individual </w:t>
      </w:r>
      <w:r>
        <w:t>to learn what data has been collected nor how it has been used by the government. With Singpass serving as a ubiquitous credential for so many services, the amount of data potentially collected is significant.</w:t>
      </w:r>
      <w:r w:rsidR="00262543">
        <w:t xml:space="preserve"> </w:t>
      </w:r>
    </w:p>
    <w:p w14:paraId="477B0807" w14:textId="77777777" w:rsidR="000A6003" w:rsidRDefault="009D0F65">
      <w:pPr>
        <w:pStyle w:val="Heading3"/>
      </w:pPr>
      <w:bookmarkStart w:id="171" w:name="_Toc134081080"/>
      <w:r>
        <w:t>GDPR, NIS2, and eIDAS</w:t>
      </w:r>
      <w:bookmarkEnd w:id="171"/>
    </w:p>
    <w:p w14:paraId="55EFCED5" w14:textId="45F93493" w:rsidR="000A6003" w:rsidRDefault="009D0F65">
      <w:r>
        <w:t xml:space="preserve">GDPR, NIS2, and eIDAS 2.0 all touch on </w:t>
      </w:r>
      <w:r w:rsidR="004E4C4F">
        <w:t>personal</w:t>
      </w:r>
      <w:r>
        <w:t xml:space="preserve"> data, though privacy is only one of several design considerations guiding the regulations. The GDPR is often pointed to as the ‘gold standard’ of privacy regulations in the world as it offers European member state citizens </w:t>
      </w:r>
      <w:r w:rsidR="004E4C4F">
        <w:t xml:space="preserve">and residents </w:t>
      </w:r>
      <w:r>
        <w:t>extensive privacy protections. NIS2, however, is more focused on increasing the resilience of critical digital infrastructure. Requirements in NIS2 focus on system-level security rather than data-level protection, which may result in contradictory requirements that impact individual data privacy.</w:t>
      </w:r>
      <w:r>
        <w:rPr>
          <w:vertAlign w:val="superscript"/>
        </w:rPr>
        <w:footnoteReference w:id="138"/>
      </w:r>
      <w:r>
        <w:t xml:space="preserve"> And the regulation focusing on digital identity, eIDAS 2.0, balances the restrictions imposed on third-party data sharing by the GDPR by building a data sharing model owned by the data subject. </w:t>
      </w:r>
    </w:p>
    <w:p w14:paraId="6BDE967F" w14:textId="77777777" w:rsidR="000A6003" w:rsidRDefault="000A6003"/>
    <w:p w14:paraId="55406D2A" w14:textId="76DDD128" w:rsidR="000A6003" w:rsidRDefault="009D0F65">
      <w:r>
        <w:t xml:space="preserve">With these and other EU regulations all influencing the identity space and, perforce, government-issued digital credentials, there is significant risk of contradictions and gaps in the privacy </w:t>
      </w:r>
      <w:r w:rsidR="00B265F0">
        <w:t>landscape.</w:t>
      </w:r>
    </w:p>
    <w:p w14:paraId="23A8B4CF" w14:textId="77777777" w:rsidR="000A6003" w:rsidRDefault="000A6003"/>
    <w:p w14:paraId="1A2D26CB" w14:textId="77777777" w:rsidR="000A6003" w:rsidRDefault="009D0F65">
      <w:r>
        <w:t xml:space="preserve">From a technical perspective, the focus on the national wallets suggests that the wallet itself has become a single point of failure. If the individual cannot use the wallet for whatever reason, they may have to resort to less privacy-enhancing processes such as sharing copies of a physical driver’s license or passport. There is also the point that while the technology housing the wallet is not specified, the mobile device vendor becomes another component in the identity ecosystem (along with the government issuer, the relying party or verifier, and even the individual) that must be considered when designing a verifiable trust model. </w:t>
      </w:r>
    </w:p>
    <w:p w14:paraId="5135F90F" w14:textId="77777777" w:rsidR="000A6003" w:rsidRDefault="009D0F65">
      <w:pPr>
        <w:pStyle w:val="Heading3"/>
      </w:pPr>
      <w:bookmarkStart w:id="172" w:name="_n5846lddpwsq" w:colFirst="0" w:colLast="0"/>
      <w:bookmarkStart w:id="173" w:name="_Toc134081081"/>
      <w:bookmarkEnd w:id="172"/>
      <w:r>
        <w:lastRenderedPageBreak/>
        <w:t>U.S. Federal and State Privacy Laws</w:t>
      </w:r>
      <w:bookmarkEnd w:id="173"/>
    </w:p>
    <w:p w14:paraId="1EA0A0F3" w14:textId="77777777" w:rsidR="000A6003" w:rsidRDefault="009D0F65">
      <w:r>
        <w:t>The U.S. is one of the few countries that does not have a national, comprehensive privacy law. Instead, laws focus on specific information or sectors, such as health or financial data. Different states step into this gap, such as California, Utah, Colorado, Virginia, and Connecticut, but efforts are uncoordinated and inconsistent. The International Association of Privacy Professionals (IAPP) offers a U.S. State Privacy Legislation Tracker for individuals interested in tracking this complicated landscape.</w:t>
      </w:r>
      <w:r>
        <w:rPr>
          <w:vertAlign w:val="superscript"/>
        </w:rPr>
        <w:footnoteReference w:id="139"/>
      </w:r>
    </w:p>
    <w:p w14:paraId="134B3E5B" w14:textId="36F2D6BE" w:rsidR="008E3037" w:rsidRDefault="008E3037">
      <w:pPr>
        <w:spacing w:line="276" w:lineRule="auto"/>
        <w:rPr>
          <w:rFonts w:ascii="Arial" w:eastAsia="Arial" w:hAnsi="Arial" w:cs="Arial"/>
          <w:color w:val="000000"/>
        </w:rPr>
      </w:pPr>
      <w:r>
        <w:rPr>
          <w:rFonts w:ascii="Arial" w:eastAsia="Arial" w:hAnsi="Arial" w:cs="Arial"/>
          <w:color w:val="000000"/>
        </w:rPr>
        <w:br w:type="page"/>
      </w:r>
    </w:p>
    <w:p w14:paraId="1D250CE5" w14:textId="77777777" w:rsidR="000A6003" w:rsidRPr="004E4C4F" w:rsidRDefault="000A6003">
      <w:pPr>
        <w:rPr>
          <w:rFonts w:ascii="Arial" w:eastAsia="Arial" w:hAnsi="Arial" w:cs="Arial"/>
          <w:color w:val="000000"/>
        </w:rPr>
      </w:pPr>
    </w:p>
    <w:p w14:paraId="48A3E5C0" w14:textId="77777777" w:rsidR="000A6003" w:rsidRDefault="000A6003"/>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6003" w14:paraId="7676202C" w14:textId="77777777">
        <w:tc>
          <w:tcPr>
            <w:tcW w:w="9360" w:type="dxa"/>
          </w:tcPr>
          <w:p w14:paraId="52B1D589" w14:textId="77777777" w:rsidR="000A6003" w:rsidRDefault="009D0F65">
            <w:pPr>
              <w:widowControl w:val="0"/>
              <w:rPr>
                <w:b/>
              </w:rPr>
            </w:pPr>
            <w:r>
              <w:rPr>
                <w:b/>
              </w:rPr>
              <w:t>An Example of Introducing New Privacy Risks</w:t>
            </w:r>
          </w:p>
          <w:p w14:paraId="4928349F" w14:textId="77777777" w:rsidR="000A6003" w:rsidRDefault="000A6003">
            <w:pPr>
              <w:widowControl w:val="0"/>
            </w:pPr>
          </w:p>
          <w:p w14:paraId="2677A130" w14:textId="77777777" w:rsidR="000A6003" w:rsidRDefault="009D0F65">
            <w:pPr>
              <w:widowControl w:val="0"/>
            </w:pPr>
            <w:r>
              <w:t xml:space="preserve">The right of access included in the GDPR allows EU residents to send subject access requests (SARs) to most organizations. Those organizations are required to respond within one month with a copy of all the personal data that organization holds on that resident. The GDPR does not specify beyond stating that the organization may employ “all reasonable measures to verify the identity of a data subject who requests access” (Rec. 64). The GDPR does not offer any further guidance on organizations that are expected to verify the identity of the requester. In fact, the GDPR further states that organizations cannot collect more data to help them identify the individual in the case an SAR is submitted. </w:t>
            </w:r>
          </w:p>
          <w:p w14:paraId="79E5DE3E" w14:textId="77777777" w:rsidR="008F02B7" w:rsidRDefault="008F02B7">
            <w:pPr>
              <w:widowControl w:val="0"/>
            </w:pPr>
          </w:p>
          <w:p w14:paraId="566F77B7" w14:textId="6399675D" w:rsidR="000A6003" w:rsidRDefault="008F02B7">
            <w:pPr>
              <w:widowControl w:val="0"/>
            </w:pPr>
            <w:r>
              <w:t xml:space="preserve">In a paper presented at Blackhat USA 2019, authors James </w:t>
            </w:r>
            <w:proofErr w:type="spellStart"/>
            <w:r>
              <w:t>Pavur</w:t>
            </w:r>
            <w:proofErr w:type="spellEnd"/>
            <w:r>
              <w:t xml:space="preserve"> and Casey </w:t>
            </w:r>
            <w:proofErr w:type="spellStart"/>
            <w:r>
              <w:t>Knerr</w:t>
            </w:r>
            <w:proofErr w:type="spellEnd"/>
            <w:r>
              <w:t xml:space="preserve"> described how the “Right of Access” process within the GDPR has the potential to result in data theft by exposing sensitive information to unauthorized third parties.</w:t>
            </w:r>
            <w:r>
              <w:rPr>
                <w:vertAlign w:val="superscript"/>
              </w:rPr>
              <w:footnoteReference w:id="140"/>
            </w:r>
          </w:p>
          <w:p w14:paraId="2F8B95BA" w14:textId="77777777" w:rsidR="008F02B7" w:rsidRDefault="008F02B7">
            <w:pPr>
              <w:widowControl w:val="0"/>
            </w:pPr>
          </w:p>
          <w:p w14:paraId="0D509A0D" w14:textId="2CBCE855" w:rsidR="000A6003" w:rsidRDefault="009D0F65">
            <w:pPr>
              <w:widowControl w:val="0"/>
            </w:pPr>
            <w:r>
              <w:t xml:space="preserve">This is a significant privacy risk that has been </w:t>
            </w:r>
            <w:r w:rsidR="008F02B7">
              <w:t xml:space="preserve">inadvertently </w:t>
            </w:r>
            <w:r>
              <w:t xml:space="preserve">introduced by legislation designed to protect an individual’s privacy. </w:t>
            </w:r>
          </w:p>
          <w:p w14:paraId="68328DC8" w14:textId="77777777" w:rsidR="000A6003" w:rsidRDefault="000A6003"/>
        </w:tc>
      </w:tr>
    </w:tbl>
    <w:p w14:paraId="2CBD351E" w14:textId="77777777" w:rsidR="000A6003" w:rsidRDefault="000A6003"/>
    <w:p w14:paraId="71AB808F" w14:textId="77777777" w:rsidR="000A6003" w:rsidRDefault="009D0F65">
      <w:pPr>
        <w:pStyle w:val="Heading1"/>
      </w:pPr>
      <w:bookmarkStart w:id="174" w:name="_Toc134081082"/>
      <w:r>
        <w:t>Recommendations for Scaling to the Future</w:t>
      </w:r>
      <w:bookmarkEnd w:id="174"/>
      <w:r>
        <w:t xml:space="preserve"> </w:t>
      </w:r>
    </w:p>
    <w:p w14:paraId="5B6FE4C9" w14:textId="77777777" w:rsidR="000A6003" w:rsidRDefault="009D0F65">
      <w:r>
        <w:t>Governments’ promise a wealth of benefits from digital transformation. From economic growth to improved efficiency and transparency in government services, digital transformation demands full speed ahead to live up to the dream. At a more detailed level, by issuing high-quality verified credentials, governments promise compelling outcomes, including:</w:t>
      </w:r>
    </w:p>
    <w:p w14:paraId="6EA8D027" w14:textId="77777777" w:rsidR="000A6003" w:rsidRDefault="000A6003"/>
    <w:p w14:paraId="5D465FE7" w14:textId="703BFF4E" w:rsidR="000A6003" w:rsidRDefault="009D0F65">
      <w:pPr>
        <w:numPr>
          <w:ilvl w:val="0"/>
          <w:numId w:val="4"/>
        </w:numPr>
      </w:pPr>
      <w:r>
        <w:t xml:space="preserve">support for individual </w:t>
      </w:r>
      <w:r w:rsidR="00C20AB8">
        <w:t>control over their own data disclosure</w:t>
      </w:r>
      <w:r w:rsidR="007E21A8">
        <w:t>;</w:t>
      </w:r>
    </w:p>
    <w:p w14:paraId="6FDA04F2" w14:textId="48BE4261" w:rsidR="000A6003" w:rsidRDefault="009D0F65">
      <w:pPr>
        <w:numPr>
          <w:ilvl w:val="0"/>
          <w:numId w:val="4"/>
        </w:numPr>
      </w:pPr>
      <w:r>
        <w:t>requirements for data minimization by all parties</w:t>
      </w:r>
      <w:r w:rsidR="007E21A8">
        <w:t>;</w:t>
      </w:r>
    </w:p>
    <w:p w14:paraId="19FCA490" w14:textId="46056492" w:rsidR="000A6003" w:rsidRDefault="009D0F65">
      <w:pPr>
        <w:numPr>
          <w:ilvl w:val="0"/>
          <w:numId w:val="4"/>
        </w:numPr>
      </w:pPr>
      <w:r>
        <w:t>laws and regulations demanding relying party accountability</w:t>
      </w:r>
      <w:r w:rsidR="007E21A8">
        <w:t>;</w:t>
      </w:r>
    </w:p>
    <w:p w14:paraId="57CD0CB5" w14:textId="2F2FC2A5" w:rsidR="000A6003" w:rsidRDefault="009D0F65">
      <w:pPr>
        <w:numPr>
          <w:ilvl w:val="0"/>
          <w:numId w:val="4"/>
        </w:numPr>
      </w:pPr>
      <w:r>
        <w:t>possibility of audit logs of transactions and ability to assert rights</w:t>
      </w:r>
      <w:r w:rsidR="007E21A8">
        <w:t>;</w:t>
      </w:r>
    </w:p>
    <w:p w14:paraId="706D530B" w14:textId="564B0144" w:rsidR="000A6003" w:rsidRDefault="009D0F65">
      <w:pPr>
        <w:numPr>
          <w:ilvl w:val="0"/>
          <w:numId w:val="4"/>
        </w:numPr>
      </w:pPr>
      <w:r>
        <w:t>minimization of fraud along with associated cost savings</w:t>
      </w:r>
      <w:r w:rsidR="007E21A8">
        <w:t>; and</w:t>
      </w:r>
    </w:p>
    <w:p w14:paraId="66589197" w14:textId="2062C2F6" w:rsidR="00947C20" w:rsidRDefault="00947C20" w:rsidP="00947C20">
      <w:pPr>
        <w:numPr>
          <w:ilvl w:val="0"/>
          <w:numId w:val="4"/>
        </w:numPr>
      </w:pPr>
      <w:r>
        <w:t>potential for extensibility to other domains outside of direct government use cases.</w:t>
      </w:r>
    </w:p>
    <w:p w14:paraId="2D17BE4A" w14:textId="77777777" w:rsidR="000A6003" w:rsidRDefault="000A6003"/>
    <w:p w14:paraId="02EBE8F0" w14:textId="3F0331DD" w:rsidR="000A6003" w:rsidRDefault="009D0F65">
      <w:r>
        <w:lastRenderedPageBreak/>
        <w:t>These promises make for worthwhile goals, but they cannot be done independently of each other</w:t>
      </w:r>
      <w:r w:rsidR="00D35069">
        <w:t xml:space="preserve"> and are by no means certain outcomes</w:t>
      </w:r>
      <w:r>
        <w:t xml:space="preserve">. They exist in a set of tradeoffs that see governments struggle to balance the needs of greater efficiency, the expectation of digital services from a changing demographic, </w:t>
      </w:r>
      <w:r w:rsidR="00D35069">
        <w:t xml:space="preserve">contradictory individual behaviors, </w:t>
      </w:r>
      <w:r>
        <w:t>and demands for privacy.</w:t>
      </w:r>
      <w:r>
        <w:rPr>
          <w:vertAlign w:val="superscript"/>
        </w:rPr>
        <w:footnoteReference w:id="141"/>
      </w:r>
      <w:r>
        <w:t xml:space="preserve"> Technology, in turn, is working to balance those same needs against the additional fact of basic limitations around what’s possible for the protocols to support. The end result is that both the government and private sector are moving towards more centralized</w:t>
      </w:r>
      <w:r w:rsidR="00D35069">
        <w:t xml:space="preserve"> storage of identity data</w:t>
      </w:r>
      <w:r>
        <w:t xml:space="preserve"> rather than </w:t>
      </w:r>
      <w:r w:rsidR="00D35069">
        <w:t>distributed</w:t>
      </w:r>
      <w:r>
        <w:t xml:space="preserve"> models in an attempt to give them control over an incredibly complex environment. </w:t>
      </w:r>
    </w:p>
    <w:p w14:paraId="2F5400AD" w14:textId="77777777" w:rsidR="000A6003" w:rsidRDefault="000A6003"/>
    <w:p w14:paraId="44AABD40" w14:textId="150169DD" w:rsidR="000A6003" w:rsidRDefault="009D0F65">
      <w:r>
        <w:t>Regulation often demands behaviors (e.g., collection of consent) that make bringing services</w:t>
      </w:r>
      <w:r w:rsidR="004239F3">
        <w:t xml:space="preserve"> in the private sector</w:t>
      </w:r>
      <w:r>
        <w:t xml:space="preserve"> in-house rather than relying on external information</w:t>
      </w:r>
      <w:r w:rsidR="004239F3">
        <w:t>, even government-issued digital credentials and their wallets,</w:t>
      </w:r>
      <w:r>
        <w:t xml:space="preserve"> a safer option.</w:t>
      </w:r>
      <w:r w:rsidR="004239F3">
        <w:rPr>
          <w:rStyle w:val="FootnoteReference"/>
        </w:rPr>
        <w:footnoteReference w:id="142"/>
      </w:r>
      <w:r>
        <w:t xml:space="preserve"> In addition, the increasingly complex collection of technical standards and specifications required for interoperability across organizational boundaries is itself a significant burden to any organization, including governments, trying to operate in a digital environment. </w:t>
      </w:r>
    </w:p>
    <w:p w14:paraId="652B06E8" w14:textId="77777777" w:rsidR="000A6003" w:rsidRDefault="000A6003"/>
    <w:p w14:paraId="3AAE1FEC" w14:textId="4037F32A" w:rsidR="000A6003" w:rsidRDefault="009D0F65">
      <w:r>
        <w:t>Regulatory demands, complex technological implementations, cross-border complexities: the end result is an experience that degrades an individual's trust in the system and opens the door to bad actors who take advantage of the chaos. How can governments, civil society, standards organizations, and developers work together to bring order to the system?</w:t>
      </w:r>
      <w:r w:rsidR="004239F3">
        <w:t xml:space="preserve"> How can the stakeholders in this multi-way trust model offer simpler solutions for the individual when the requirements are so complex? This section </w:t>
      </w:r>
      <w:r w:rsidR="008B5CAC">
        <w:t xml:space="preserve">offers recommendations on ways the privacy landscape can be improved for government-issued digital credentials to governments, technologists, and civil society members. These recommendations are based on what has been learned from the survey of the landscape provided earlier in this paper. </w:t>
      </w:r>
    </w:p>
    <w:p w14:paraId="338C84F4" w14:textId="77777777" w:rsidR="002D2E99" w:rsidRDefault="002D2E99"/>
    <w:p w14:paraId="2D46C726" w14:textId="77777777" w:rsidR="008E3037" w:rsidRDefault="008E3037">
      <w:pPr>
        <w:spacing w:line="276" w:lineRule="auto"/>
        <w:rPr>
          <w:sz w:val="32"/>
          <w:szCs w:val="32"/>
        </w:rPr>
      </w:pPr>
      <w:r>
        <w:br w:type="page"/>
      </w:r>
    </w:p>
    <w:p w14:paraId="450B8224" w14:textId="22D3AAA8" w:rsidR="000A6003" w:rsidRDefault="009D0F65">
      <w:pPr>
        <w:pStyle w:val="Heading2"/>
      </w:pPr>
      <w:bookmarkStart w:id="175" w:name="_Toc134081083"/>
      <w:r>
        <w:lastRenderedPageBreak/>
        <w:t>The Basics of Security and Privacy</w:t>
      </w:r>
      <w:bookmarkEnd w:id="175"/>
    </w:p>
    <w:tbl>
      <w:tblPr>
        <w:tblStyle w:val="TableGrid"/>
        <w:tblW w:w="0" w:type="auto"/>
        <w:tblLook w:val="04A0" w:firstRow="1" w:lastRow="0" w:firstColumn="1" w:lastColumn="0" w:noHBand="0" w:noVBand="1"/>
      </w:tblPr>
      <w:tblGrid>
        <w:gridCol w:w="711"/>
        <w:gridCol w:w="8639"/>
      </w:tblGrid>
      <w:tr w:rsidR="00477C55" w14:paraId="61036750" w14:textId="77777777" w:rsidTr="00095237">
        <w:tc>
          <w:tcPr>
            <w:tcW w:w="9350" w:type="dxa"/>
            <w:gridSpan w:val="2"/>
            <w:shd w:val="clear" w:color="auto" w:fill="8DB3E2" w:themeFill="text2" w:themeFillTint="66"/>
          </w:tcPr>
          <w:p w14:paraId="3D898D6D" w14:textId="34F4471C" w:rsidR="00477C55" w:rsidRPr="00095237" w:rsidRDefault="00477C55" w:rsidP="009D0F65">
            <w:pPr>
              <w:rPr>
                <w:b/>
                <w:bCs/>
              </w:rPr>
            </w:pPr>
            <w:r w:rsidRPr="00095237">
              <w:rPr>
                <w:b/>
                <w:bCs/>
              </w:rPr>
              <w:t>Summary of Recommendations: Basics of Security and Privacy</w:t>
            </w:r>
          </w:p>
        </w:tc>
      </w:tr>
      <w:tr w:rsidR="00477C55" w14:paraId="07AD12C0" w14:textId="77777777" w:rsidTr="009D0F65">
        <w:tc>
          <w:tcPr>
            <w:tcW w:w="711" w:type="dxa"/>
          </w:tcPr>
          <w:p w14:paraId="5A9F444C" w14:textId="77777777" w:rsidR="00477C55" w:rsidRDefault="00477C55" w:rsidP="009D0F65">
            <w:r>
              <w:t>6.1</w:t>
            </w:r>
          </w:p>
        </w:tc>
        <w:tc>
          <w:tcPr>
            <w:tcW w:w="8639" w:type="dxa"/>
          </w:tcPr>
          <w:p w14:paraId="2B0C0874" w14:textId="77777777" w:rsidR="00477C55" w:rsidRDefault="00477C55" w:rsidP="009D0F65">
            <w:r>
              <w:t>Governments should use an established, internationally recognized privacy framework to inform their laws and technological requirements for digital identity systems.</w:t>
            </w:r>
          </w:p>
        </w:tc>
      </w:tr>
      <w:tr w:rsidR="00477C55" w14:paraId="5C57F918" w14:textId="77777777" w:rsidTr="00095237">
        <w:tc>
          <w:tcPr>
            <w:tcW w:w="9350" w:type="dxa"/>
            <w:gridSpan w:val="2"/>
            <w:shd w:val="clear" w:color="auto" w:fill="C6D9F1" w:themeFill="text2" w:themeFillTint="33"/>
          </w:tcPr>
          <w:p w14:paraId="15B5039A" w14:textId="77777777" w:rsidR="00477C55" w:rsidRDefault="00477C55" w:rsidP="009D0F65">
            <w:r>
              <w:t>Individual Agency</w:t>
            </w:r>
          </w:p>
        </w:tc>
      </w:tr>
      <w:tr w:rsidR="00477C55" w14:paraId="42CC7BE5" w14:textId="77777777" w:rsidTr="009D0F65">
        <w:tc>
          <w:tcPr>
            <w:tcW w:w="711" w:type="dxa"/>
          </w:tcPr>
          <w:p w14:paraId="35FBF8DE" w14:textId="77777777" w:rsidR="00477C55" w:rsidRDefault="00477C55" w:rsidP="009D0F65">
            <w:r>
              <w:t>6.1.1</w:t>
            </w:r>
          </w:p>
        </w:tc>
        <w:tc>
          <w:tcPr>
            <w:tcW w:w="8639" w:type="dxa"/>
          </w:tcPr>
          <w:p w14:paraId="1E872CC0" w14:textId="77777777" w:rsidR="00477C55" w:rsidRDefault="00477C55" w:rsidP="009D0F65">
            <w:r>
              <w:t>Governments must consider what information they actually require from an individual for the different actions they might take in a system, rather than focus on what information they want to enable other, possibly unrelated actions.</w:t>
            </w:r>
          </w:p>
        </w:tc>
      </w:tr>
      <w:tr w:rsidR="00477C55" w14:paraId="5C16B7C7" w14:textId="77777777" w:rsidTr="009D0F65">
        <w:tc>
          <w:tcPr>
            <w:tcW w:w="711" w:type="dxa"/>
          </w:tcPr>
          <w:p w14:paraId="39B9D83C" w14:textId="77777777" w:rsidR="00477C55" w:rsidRDefault="00477C55" w:rsidP="009D0F65">
            <w:r>
              <w:t>6.1.1</w:t>
            </w:r>
          </w:p>
        </w:tc>
        <w:tc>
          <w:tcPr>
            <w:tcW w:w="8639" w:type="dxa"/>
          </w:tcPr>
          <w:p w14:paraId="29A939AF" w14:textId="77777777" w:rsidR="00477C55" w:rsidRDefault="00477C55" w:rsidP="009D0F65">
            <w:r>
              <w:t>The individual must have agency to make informed choices, but the system defaults should be the most privacy-enhancing ones.</w:t>
            </w:r>
          </w:p>
        </w:tc>
      </w:tr>
      <w:tr w:rsidR="00477C55" w14:paraId="6DB4565F" w14:textId="77777777" w:rsidTr="00095237">
        <w:tc>
          <w:tcPr>
            <w:tcW w:w="9350" w:type="dxa"/>
            <w:gridSpan w:val="2"/>
            <w:shd w:val="clear" w:color="auto" w:fill="C6D9F1" w:themeFill="text2" w:themeFillTint="33"/>
          </w:tcPr>
          <w:p w14:paraId="6E9538E3" w14:textId="77777777" w:rsidR="00477C55" w:rsidRDefault="00477C55" w:rsidP="009D0F65">
            <w:r>
              <w:t>Systemic Transparency</w:t>
            </w:r>
          </w:p>
        </w:tc>
      </w:tr>
      <w:tr w:rsidR="006D77DC" w14:paraId="16278695" w14:textId="77777777" w:rsidTr="009D0F65">
        <w:tc>
          <w:tcPr>
            <w:tcW w:w="711" w:type="dxa"/>
          </w:tcPr>
          <w:p w14:paraId="292329AE" w14:textId="17F00AD4" w:rsidR="006D77DC" w:rsidRDefault="006D77DC" w:rsidP="009D0F65">
            <w:r>
              <w:t>6.1.2</w:t>
            </w:r>
          </w:p>
        </w:tc>
        <w:tc>
          <w:tcPr>
            <w:tcW w:w="8639" w:type="dxa"/>
          </w:tcPr>
          <w:p w14:paraId="4502C40A" w14:textId="7BB7E247" w:rsidR="006D77DC" w:rsidRDefault="006D77DC" w:rsidP="009D0F65">
            <w:r w:rsidRPr="007F68D0">
              <w:t xml:space="preserve">Governments </w:t>
            </w:r>
            <w:r>
              <w:t>should consider revising their consumer protection laws so that all interested parties, from individuals to auditors,</w:t>
            </w:r>
            <w:r w:rsidRPr="007F68D0">
              <w:t xml:space="preserve"> </w:t>
            </w:r>
            <w:r>
              <w:t>may verify that</w:t>
            </w:r>
            <w:r w:rsidRPr="007F68D0">
              <w:t xml:space="preserve"> what </w:t>
            </w:r>
            <w:r>
              <w:t>companies</w:t>
            </w:r>
            <w:r w:rsidRPr="007F68D0">
              <w:t xml:space="preserve"> ask for </w:t>
            </w:r>
            <w:r>
              <w:t xml:space="preserve">conforms </w:t>
            </w:r>
            <w:r w:rsidRPr="007F68D0">
              <w:t xml:space="preserve">to </w:t>
            </w:r>
            <w:r>
              <w:t xml:space="preserve">standard </w:t>
            </w:r>
            <w:r w:rsidRPr="007F68D0">
              <w:t xml:space="preserve">privacy principles </w:t>
            </w:r>
            <w:r>
              <w:t>from an established privacy framework</w:t>
            </w:r>
            <w:r w:rsidRPr="007F68D0">
              <w:t>.</w:t>
            </w:r>
          </w:p>
        </w:tc>
      </w:tr>
      <w:tr w:rsidR="00477C55" w14:paraId="21489BAC" w14:textId="77777777" w:rsidTr="009D0F65">
        <w:tc>
          <w:tcPr>
            <w:tcW w:w="711" w:type="dxa"/>
          </w:tcPr>
          <w:p w14:paraId="3A6268BB" w14:textId="77777777" w:rsidR="00477C55" w:rsidRDefault="00477C55" w:rsidP="009D0F65">
            <w:r>
              <w:t>6.1.2</w:t>
            </w:r>
          </w:p>
        </w:tc>
        <w:tc>
          <w:tcPr>
            <w:tcW w:w="8639" w:type="dxa"/>
          </w:tcPr>
          <w:p w14:paraId="6C58AF43" w14:textId="77777777" w:rsidR="00477C55" w:rsidRDefault="00477C55" w:rsidP="009D0F65">
            <w:pPr>
              <w:spacing w:line="276" w:lineRule="auto"/>
            </w:pPr>
            <w:r>
              <w:t xml:space="preserve">Each government, at minimum, should have audit requirements for both </w:t>
            </w:r>
            <w:proofErr w:type="gramStart"/>
            <w:r>
              <w:t>themselves</w:t>
            </w:r>
            <w:proofErr w:type="gramEnd"/>
            <w:r>
              <w:t xml:space="preserve"> and the parties (both public and private) using government-issued digital credentials. All relying parties should be subject to reviews and held accountable to when and how they use and retain data.</w:t>
            </w:r>
          </w:p>
        </w:tc>
      </w:tr>
      <w:tr w:rsidR="00477C55" w14:paraId="1102467D" w14:textId="77777777" w:rsidTr="00095237">
        <w:tc>
          <w:tcPr>
            <w:tcW w:w="9350" w:type="dxa"/>
            <w:gridSpan w:val="2"/>
            <w:shd w:val="clear" w:color="auto" w:fill="C6D9F1" w:themeFill="text2" w:themeFillTint="33"/>
          </w:tcPr>
          <w:p w14:paraId="7988D28C" w14:textId="77777777" w:rsidR="00477C55" w:rsidRDefault="00477C55" w:rsidP="009D0F65">
            <w:r>
              <w:t>Data Minimization</w:t>
            </w:r>
          </w:p>
        </w:tc>
      </w:tr>
      <w:tr w:rsidR="00477C55" w14:paraId="3893DC8C" w14:textId="77777777" w:rsidTr="009D0F65">
        <w:tc>
          <w:tcPr>
            <w:tcW w:w="711" w:type="dxa"/>
          </w:tcPr>
          <w:p w14:paraId="1F56E62E" w14:textId="77777777" w:rsidR="00477C55" w:rsidRDefault="00477C55" w:rsidP="009D0F65">
            <w:r>
              <w:t>6.1.3</w:t>
            </w:r>
          </w:p>
        </w:tc>
        <w:tc>
          <w:tcPr>
            <w:tcW w:w="8639" w:type="dxa"/>
          </w:tcPr>
          <w:p w14:paraId="63C93219" w14:textId="77777777" w:rsidR="00477C55" w:rsidRDefault="00477C55" w:rsidP="009D0F65">
            <w:r>
              <w:t>Governments, civil society, and organizations</w:t>
            </w:r>
            <w:r w:rsidRPr="00691C7F">
              <w:t xml:space="preserve"> </w:t>
            </w:r>
            <w:r>
              <w:t xml:space="preserve">should </w:t>
            </w:r>
            <w:r w:rsidRPr="00691C7F">
              <w:t xml:space="preserve">agree </w:t>
            </w:r>
            <w:r>
              <w:t xml:space="preserve">as to </w:t>
            </w:r>
            <w:r w:rsidRPr="00691C7F">
              <w:t xml:space="preserve">what the </w:t>
            </w:r>
            <w:r>
              <w:t xml:space="preserve">appropriate, </w:t>
            </w:r>
            <w:r w:rsidRPr="00691C7F">
              <w:t>minimum set of data is for a given transaction type.</w:t>
            </w:r>
          </w:p>
        </w:tc>
      </w:tr>
      <w:tr w:rsidR="00477C55" w14:paraId="34E64AC7" w14:textId="77777777" w:rsidTr="00095237">
        <w:tc>
          <w:tcPr>
            <w:tcW w:w="9350" w:type="dxa"/>
            <w:gridSpan w:val="2"/>
            <w:shd w:val="clear" w:color="auto" w:fill="C6D9F1" w:themeFill="text2" w:themeFillTint="33"/>
          </w:tcPr>
          <w:p w14:paraId="1B80BD2E" w14:textId="4ED579B3" w:rsidR="00477C55" w:rsidRDefault="00C07B6C" w:rsidP="009D0F65">
            <w:r>
              <w:t>Selective Disclosure</w:t>
            </w:r>
          </w:p>
        </w:tc>
      </w:tr>
      <w:tr w:rsidR="00477C55" w14:paraId="62521B7E" w14:textId="77777777" w:rsidTr="009D0F65">
        <w:tc>
          <w:tcPr>
            <w:tcW w:w="711" w:type="dxa"/>
          </w:tcPr>
          <w:p w14:paraId="01CF8F8F" w14:textId="77777777" w:rsidR="00477C55" w:rsidRDefault="00477C55" w:rsidP="009D0F65">
            <w:r>
              <w:t>6.1.4</w:t>
            </w:r>
          </w:p>
        </w:tc>
        <w:tc>
          <w:tcPr>
            <w:tcW w:w="8639" w:type="dxa"/>
          </w:tcPr>
          <w:p w14:paraId="12C31D92" w14:textId="1E18DF74" w:rsidR="00477C55" w:rsidRDefault="00477C55" w:rsidP="009D0F65">
            <w:r>
              <w:t xml:space="preserve">Everyone from operating system vendors, computer hardware manufacturers, and standards developers </w:t>
            </w:r>
            <w:r w:rsidR="00C07B6C">
              <w:t>must engage in making the necessary technology for selective disclosure broadly available</w:t>
            </w:r>
            <w:r>
              <w:t>.</w:t>
            </w:r>
          </w:p>
        </w:tc>
      </w:tr>
    </w:tbl>
    <w:p w14:paraId="3F5F810A" w14:textId="77777777" w:rsidR="00477C55" w:rsidRPr="00477C55" w:rsidRDefault="00477C55" w:rsidP="00095237"/>
    <w:p w14:paraId="658C7E03" w14:textId="1A663A41" w:rsidR="000A6003" w:rsidRDefault="009D0F65">
      <w:r>
        <w:t xml:space="preserve">There are several concepts described in the OECD Privacy Principles </w:t>
      </w:r>
      <w:r w:rsidR="00694EAE">
        <w:t xml:space="preserve">and ISO/IEC 29100, described earlier in this document, </w:t>
      </w:r>
      <w:r>
        <w:t xml:space="preserve">that should serve as the foundation of every discussion about privacy within digital systems. These principles are not new, and yet governments and private-sector organizations tend to either reinvent them or pick-and-choose what they want to incorporate into their legal and technical systems. </w:t>
      </w:r>
    </w:p>
    <w:p w14:paraId="59CB183F" w14:textId="77777777" w:rsidR="000A6003" w:rsidRDefault="000A6003"/>
    <w:p w14:paraId="5F6E1CF3" w14:textId="5ED58004" w:rsidR="000A6003" w:rsidRDefault="009D0F65">
      <w:r>
        <w:t>When it comes to government-issued digital credentials, these principles should be treated as the basic, foundational principles that are and incorporated in the earliest stages of planning and design.</w:t>
      </w:r>
    </w:p>
    <w:p w14:paraId="1E597DFB" w14:textId="77777777" w:rsidR="000A6003" w:rsidRDefault="000A6003"/>
    <w:p w14:paraId="6A42C8A5" w14:textId="4A30F1C9" w:rsidR="000A6003" w:rsidRDefault="009D0F65">
      <w:r>
        <w:t xml:space="preserve">Governments should review current </w:t>
      </w:r>
      <w:r w:rsidR="00694EAE">
        <w:t xml:space="preserve">cybersecurity </w:t>
      </w:r>
      <w:r>
        <w:t>best practices</w:t>
      </w:r>
      <w:r w:rsidR="00694EAE">
        <w:t xml:space="preserve">, such as what are described in NIS2, the NIST Cybersecurity Framework, and the proposed the EU Cyber </w:t>
      </w:r>
      <w:r w:rsidR="00694EAE">
        <w:lastRenderedPageBreak/>
        <w:t>Resilience Act.</w:t>
      </w:r>
      <w:r w:rsidR="00694EAE">
        <w:rPr>
          <w:rStyle w:val="FootnoteReference"/>
        </w:rPr>
        <w:footnoteReference w:id="143"/>
      </w:r>
      <w:r w:rsidR="00694EAE">
        <w:t xml:space="preserve"> </w:t>
      </w:r>
      <w:r w:rsidR="008B5CAC">
        <w:t xml:space="preserve">This will support compliance </w:t>
      </w:r>
      <w:r>
        <w:t xml:space="preserve">with the </w:t>
      </w:r>
      <w:r w:rsidR="00694EAE">
        <w:t xml:space="preserve">OECD </w:t>
      </w:r>
      <w:r>
        <w:t xml:space="preserve">Security Safeguards Principle, which states, “Personal data should be protected by reasonable security safeguards against such risks as loss or </w:t>
      </w:r>
      <w:proofErr w:type="spellStart"/>
      <w:r>
        <w:t>unauthorised</w:t>
      </w:r>
      <w:proofErr w:type="spellEnd"/>
      <w:r>
        <w:t xml:space="preserve"> access, destruction, use, modification or disclosure of data.” </w:t>
      </w:r>
      <w:r w:rsidR="008B5CAC">
        <w:t xml:space="preserve">Whether the country is a member of the OECD or not, these principles on how a government protects the personal data in their systems provide a reasonable measure of success. </w:t>
      </w:r>
    </w:p>
    <w:p w14:paraId="1F184034" w14:textId="77777777" w:rsidR="000A6003" w:rsidRDefault="000A6003"/>
    <w:p w14:paraId="673C461E" w14:textId="72286BF0" w:rsidR="000A6003" w:rsidRDefault="009D0F65">
      <w:r>
        <w:t>Governments should also keep in mind that they are the most significant data controller in the digital ecosystem, and as such, should hold themselves answerable to the Accountability Principle (“A data controller should be accountable for complying with measures which give effect to the principles stated above.”</w:t>
      </w:r>
    </w:p>
    <w:p w14:paraId="0E5AC7DD" w14:textId="119B81E5" w:rsidR="000A6003" w:rsidRDefault="009D0F65">
      <w:pPr>
        <w:pStyle w:val="Heading3"/>
      </w:pPr>
      <w:bookmarkStart w:id="176" w:name="_Toc134081084"/>
      <w:r>
        <w:t>Individual Agency</w:t>
      </w:r>
      <w:bookmarkEnd w:id="176"/>
      <w:r w:rsidR="007F68D0">
        <w:t xml:space="preserve"> </w:t>
      </w:r>
    </w:p>
    <w:p w14:paraId="4BB23064" w14:textId="38BFB769" w:rsidR="000A6003" w:rsidRDefault="009D0F65">
      <w:r>
        <w:t>Consent and user control is an item strongly addressed in regulation for private issuance and use of digital credentials</w:t>
      </w:r>
      <w:r w:rsidR="00084EC4">
        <w:t>, but perhaps not to the effect regulators have intended it to be</w:t>
      </w:r>
      <w:r>
        <w:t>.</w:t>
      </w:r>
      <w:r>
        <w:rPr>
          <w:vertAlign w:val="superscript"/>
        </w:rPr>
        <w:footnoteReference w:id="144"/>
      </w:r>
      <w:r>
        <w:t xml:space="preserve"> </w:t>
      </w:r>
      <w:r w:rsidR="00084EC4">
        <w:t>Consent is</w:t>
      </w:r>
      <w:r>
        <w:t xml:space="preserve"> also covered in the OECD’s Collection Limitation, Use Limitation, and Individual Participation Principles. Government issuance and use of digital credentials raise the bar for when and how consent is requested, even for government services. Governments must consider what information they actually require from an individual for the different actions they might take in a system, rather than focus on what information they want to enable other, possibly unrelated actions.</w:t>
      </w:r>
    </w:p>
    <w:p w14:paraId="0DF754A2" w14:textId="77777777" w:rsidR="000A6003" w:rsidRDefault="000A6003"/>
    <w:p w14:paraId="64767855" w14:textId="6514A0B0" w:rsidR="000A6003" w:rsidRDefault="009D0F65">
      <w:r>
        <w:t xml:space="preserve">For example, governments might consider a consent-management service </w:t>
      </w:r>
      <w:r w:rsidR="00BA3673">
        <w:t xml:space="preserve">for data disclosure </w:t>
      </w:r>
      <w:r>
        <w:t>that allows individuals to set defaults for data release such</w:t>
      </w:r>
      <w:r w:rsidR="00F657A8">
        <w:t xml:space="preserve"> that</w:t>
      </w:r>
      <w:r>
        <w:t xml:space="preserve"> services would not need to request further consent if what they are asking for and what the individual allows align.</w:t>
      </w:r>
      <w:r w:rsidR="00BA3673">
        <w:t xml:space="preserve"> Alternatively, they could require consent records be implemented in each wallet on device (something that has made its way into standards such as ISO/IEC 18013-5).</w:t>
      </w:r>
      <w:r>
        <w:t xml:space="preserve"> If the individual’s defaults do not align with the service’s requirements, the service could be required to explain what information they are requesting and why and give the individual the opportunity to choose a different path. The individual should have the option for selective disclosure of their information to minimize their digital footprint.</w:t>
      </w:r>
      <w:r w:rsidR="00B9690A">
        <w:rPr>
          <w:rStyle w:val="FootnoteReference"/>
        </w:rPr>
        <w:footnoteReference w:id="145"/>
      </w:r>
      <w:r w:rsidR="00F657A8">
        <w:t xml:space="preserve"> </w:t>
      </w:r>
    </w:p>
    <w:p w14:paraId="3B771BAF" w14:textId="77777777" w:rsidR="00F657A8" w:rsidRDefault="00F657A8"/>
    <w:p w14:paraId="2FF33889" w14:textId="141AB87B" w:rsidR="000A6003" w:rsidRDefault="00F657A8">
      <w:r>
        <w:t>The individual must have agency, but they must also not be burdened with unnecessary choices. Defaults should always be sensible and minimize the requests being made of the individual, and the best choice for privacy should always be the easiest one.</w:t>
      </w:r>
    </w:p>
    <w:p w14:paraId="20CCA993" w14:textId="77777777" w:rsidR="000A6003" w:rsidRDefault="009D0F65">
      <w:pPr>
        <w:pStyle w:val="Heading3"/>
      </w:pPr>
      <w:bookmarkStart w:id="177" w:name="_Toc134081085"/>
      <w:r>
        <w:t>Systemic Transparency</w:t>
      </w:r>
      <w:bookmarkEnd w:id="177"/>
    </w:p>
    <w:p w14:paraId="3C26DA34" w14:textId="56A6C886" w:rsidR="007F68D0" w:rsidRDefault="009D0F65">
      <w:r>
        <w:t>Coupled with the concept of user control, governments are building transparency in their systems to encourage trust. In some cases, they are doing this by showing what their services are doing down to the layer of the code itself.</w:t>
      </w:r>
      <w:r w:rsidR="00B9690A">
        <w:rPr>
          <w:rStyle w:val="FootnoteReference"/>
        </w:rPr>
        <w:footnoteReference w:id="146"/>
      </w:r>
      <w:r>
        <w:t xml:space="preserve"> In others, they are relying on documentation and service tools that individuals can read and use to see what the government exposes regarding their systems. This brings into play the Openness and Purpose Specification Principles from the OECD, and yet, these principles are being handled very differently.</w:t>
      </w:r>
    </w:p>
    <w:p w14:paraId="1421EFC2" w14:textId="77777777" w:rsidR="000A6003" w:rsidRDefault="000A6003"/>
    <w:p w14:paraId="74F7B041" w14:textId="77777777" w:rsidR="000A6003" w:rsidRDefault="009D0F65">
      <w:r>
        <w:t>For example, In the Aadhaar system, residents can review their digital identity’s authentication history via a website. But the Aadhaar technology itself is run as a centralized, proprietary system.</w:t>
      </w:r>
      <w:r>
        <w:rPr>
          <w:vertAlign w:val="superscript"/>
        </w:rPr>
        <w:footnoteReference w:id="147"/>
      </w:r>
      <w:r>
        <w:t xml:space="preserve"> Singpass, on the other hand, offers its API source code to the world in a GitHub repository.</w:t>
      </w:r>
      <w:r>
        <w:rPr>
          <w:vertAlign w:val="superscript"/>
        </w:rPr>
        <w:footnoteReference w:id="148"/>
      </w:r>
    </w:p>
    <w:p w14:paraId="5D319217" w14:textId="77777777" w:rsidR="000A6003" w:rsidRDefault="000A6003"/>
    <w:p w14:paraId="51BE6C86" w14:textId="07C243D2" w:rsidR="000A6003" w:rsidRDefault="009D0F65">
      <w:r>
        <w:t>The U.S. state of California is in the process of reviewing cybersecurity audit requirements that may become a strong part of their efforts towards transparency.</w:t>
      </w:r>
      <w:r>
        <w:rPr>
          <w:vertAlign w:val="superscript"/>
        </w:rPr>
        <w:footnoteReference w:id="149"/>
      </w:r>
      <w:r>
        <w:t xml:space="preserve"> The GDPR, conversely, has no formal audit requirements at all. </w:t>
      </w:r>
      <w:r w:rsidR="008F02B7">
        <w:t>And while third-party audits are useful to help an organization, be it a government or a business, measure its compliance, it only becomes a measure of transparency when the results of the audit are made publicly available.</w:t>
      </w:r>
    </w:p>
    <w:p w14:paraId="74FC0A2F" w14:textId="77777777" w:rsidR="007F68D0" w:rsidRDefault="007F68D0"/>
    <w:p w14:paraId="577842B7" w14:textId="26C2709C" w:rsidR="007F68D0" w:rsidRDefault="007F68D0">
      <w:r>
        <w:t>That said, governments must recognize, particularly when the credentials they issue are used in the private sector, that individuals cannot determine whether what a company has asked for is, in fact, minimal. There is little to no transparency in the business decisions that result in the request for personal data.</w:t>
      </w:r>
      <w:r w:rsidRPr="007F68D0">
        <w:t xml:space="preserve"> Governments </w:t>
      </w:r>
      <w:r>
        <w:t>should consider revising their consumer protection laws so that all interested parties, from individuals to auditors,</w:t>
      </w:r>
      <w:r w:rsidRPr="007F68D0">
        <w:t xml:space="preserve"> </w:t>
      </w:r>
      <w:r>
        <w:t>may verify that</w:t>
      </w:r>
      <w:r w:rsidRPr="007F68D0">
        <w:t xml:space="preserve"> what </w:t>
      </w:r>
      <w:r>
        <w:t>companies</w:t>
      </w:r>
      <w:r w:rsidRPr="007F68D0">
        <w:t xml:space="preserve"> ask for </w:t>
      </w:r>
      <w:r>
        <w:t xml:space="preserve">conforms </w:t>
      </w:r>
      <w:r w:rsidRPr="007F68D0">
        <w:t xml:space="preserve">to </w:t>
      </w:r>
      <w:r>
        <w:t xml:space="preserve">standard </w:t>
      </w:r>
      <w:r w:rsidRPr="007F68D0">
        <w:t xml:space="preserve">privacy principles </w:t>
      </w:r>
      <w:r>
        <w:t>from an established privacy framework</w:t>
      </w:r>
      <w:r w:rsidRPr="007F68D0">
        <w:t>.</w:t>
      </w:r>
    </w:p>
    <w:p w14:paraId="3EB50FAA" w14:textId="77777777" w:rsidR="00A027AF" w:rsidRDefault="00A027AF"/>
    <w:p w14:paraId="5C475700" w14:textId="468EAB28" w:rsidR="000A6003" w:rsidRDefault="00A027AF">
      <w:r>
        <w:t xml:space="preserve">Each government, at minimum, should have audit requirements for both </w:t>
      </w:r>
      <w:proofErr w:type="gramStart"/>
      <w:r>
        <w:t>themselves</w:t>
      </w:r>
      <w:proofErr w:type="gramEnd"/>
      <w:r>
        <w:t xml:space="preserve"> and the parties (both public and private) using government-issued digital credentials. All </w:t>
      </w:r>
      <w:r w:rsidR="009D0F65">
        <w:t xml:space="preserve">relying </w:t>
      </w:r>
      <w:r w:rsidR="009D0F65">
        <w:lastRenderedPageBreak/>
        <w:t xml:space="preserve">parties should be subject to reviews and held accountable to when and how they use and retain data. </w:t>
      </w:r>
      <w:r>
        <w:t>For example, i</w:t>
      </w:r>
      <w:r w:rsidR="009D0F65">
        <w:t>n Singapore, relying party accountability is a prominent component of the Singpass system.</w:t>
      </w:r>
      <w:r w:rsidR="009D0F65">
        <w:rPr>
          <w:vertAlign w:val="superscript"/>
        </w:rPr>
        <w:footnoteReference w:id="150"/>
      </w:r>
      <w:r w:rsidR="009D0F65">
        <w:t xml:space="preserve"> In Italy, every new relying party is reviewed and charged a small fee before being allowed to access the system.</w:t>
      </w:r>
    </w:p>
    <w:p w14:paraId="37E17F7B" w14:textId="77777777" w:rsidR="000A6003" w:rsidRDefault="009D0F65">
      <w:pPr>
        <w:pStyle w:val="Heading3"/>
      </w:pPr>
      <w:bookmarkStart w:id="178" w:name="_Toc134081086"/>
      <w:r>
        <w:t>Data Minimization</w:t>
      </w:r>
      <w:bookmarkEnd w:id="178"/>
    </w:p>
    <w:p w14:paraId="60E45B69" w14:textId="488D9B76" w:rsidR="000A6003" w:rsidRDefault="009D0F65">
      <w:r>
        <w:t xml:space="preserve">A fundamental security best practice further enshrined in regulations around the world </w:t>
      </w:r>
      <w:r w:rsidR="00A17943">
        <w:t xml:space="preserve">is the principle of data </w:t>
      </w:r>
      <w:r w:rsidR="00A17943" w:rsidRPr="00A17943">
        <w:t>minimization</w:t>
      </w:r>
      <w:r w:rsidR="00A17943">
        <w:t>, described in the ISO/IEC 29100 Privacy Framework as</w:t>
      </w:r>
      <w:r w:rsidR="00A17943" w:rsidRPr="00A17943">
        <w:t xml:space="preserve"> “</w:t>
      </w:r>
      <w:r w:rsidR="00A17943" w:rsidRPr="00095237">
        <w:t>Processing of data should be minimized to that specifically necessary for the purpose specified.</w:t>
      </w:r>
      <w:r w:rsidR="00A17943" w:rsidRPr="00A17943">
        <w:t>”</w:t>
      </w:r>
      <w:r>
        <w:t xml:space="preserve"> Of course, the interpretation of what is directly necessary is open to interpretation; the enforcement mechanisms on both the legal and the technical sides are inconsistently applied or completely lacking. Still, one of the most powerful ways to protect an individual’s data privacy is to not collect their personal data at all. </w:t>
      </w:r>
    </w:p>
    <w:p w14:paraId="365F7CF8" w14:textId="77777777" w:rsidR="00E41DC6" w:rsidRDefault="00E41DC6"/>
    <w:p w14:paraId="1BDC3ACD" w14:textId="1F1CED03" w:rsidR="00E41DC6" w:rsidRDefault="00E41DC6">
      <w:r>
        <w:t xml:space="preserve">Governments are in a unique position of being the </w:t>
      </w:r>
      <w:r w:rsidR="006F23F0">
        <w:t>authoritative source</w:t>
      </w:r>
      <w:r>
        <w:t xml:space="preserve"> </w:t>
      </w:r>
      <w:r w:rsidR="006268A1">
        <w:t>for</w:t>
      </w:r>
      <w:r>
        <w:t xml:space="preserve"> a </w:t>
      </w:r>
      <w:r w:rsidR="00C07B6C">
        <w:t xml:space="preserve">several fundamental attributes of </w:t>
      </w:r>
      <w:r>
        <w:t xml:space="preserve">personal data. Birth records, legal names, and citizenship are just a few examples of data that governments generate for citizens and residents of their countries. </w:t>
      </w:r>
      <w:r w:rsidR="008E3037">
        <w:t xml:space="preserve">India’s Aadhaar system, for example, </w:t>
      </w:r>
      <w:r w:rsidR="008E3037" w:rsidRPr="008E3037">
        <w:t xml:space="preserve">only collects </w:t>
      </w:r>
      <w:r w:rsidR="008E3037">
        <w:t>four</w:t>
      </w:r>
      <w:r w:rsidR="008E3037" w:rsidRPr="008E3037">
        <w:t xml:space="preserve"> fields of demographic data</w:t>
      </w:r>
      <w:r w:rsidR="008E3037">
        <w:t>—</w:t>
      </w:r>
      <w:r w:rsidR="008E3037" w:rsidRPr="008E3037">
        <w:t>name, age, gender</w:t>
      </w:r>
      <w:r w:rsidR="008E3037">
        <w:t>,</w:t>
      </w:r>
      <w:r w:rsidR="008E3037" w:rsidRPr="008E3037">
        <w:t xml:space="preserve"> and address</w:t>
      </w:r>
      <w:r w:rsidR="008E3037">
        <w:t>—</w:t>
      </w:r>
      <w:r w:rsidR="008E3037" w:rsidRPr="008E3037">
        <w:t xml:space="preserve">and </w:t>
      </w:r>
      <w:r w:rsidR="008E3037">
        <w:t>two</w:t>
      </w:r>
      <w:r w:rsidR="008E3037" w:rsidRPr="008E3037">
        <w:t xml:space="preserve"> optional fields</w:t>
      </w:r>
      <w:r w:rsidR="008E3037">
        <w:t>—</w:t>
      </w:r>
      <w:r w:rsidR="008E3037" w:rsidRPr="008E3037">
        <w:t>mobile number and email addres</w:t>
      </w:r>
      <w:r w:rsidR="008E3037">
        <w:t xml:space="preserve">s. </w:t>
      </w:r>
      <w:r w:rsidR="00DA35FA">
        <w:t xml:space="preserve">However, </w:t>
      </w:r>
      <w:r w:rsidR="008E3037">
        <w:t xml:space="preserve">governments </w:t>
      </w:r>
      <w:r w:rsidR="00DA35FA">
        <w:t xml:space="preserve">are also likely to collect even more data that is not necessarily in their purview. As </w:t>
      </w:r>
      <w:r w:rsidR="009D218F">
        <w:t xml:space="preserve">government </w:t>
      </w:r>
      <w:r w:rsidR="00DA35FA">
        <w:t xml:space="preserve">agencies collect data such as race, gender, and sexual orientation in order to evaluate </w:t>
      </w:r>
      <w:r w:rsidR="009D218F">
        <w:t>whether or not they are supporting diversity and equity, that data becomes a source of information that may be used for other purposes</w:t>
      </w:r>
      <w:r w:rsidR="00383F02">
        <w:t xml:space="preserve"> if those purposes are declared important by the government itself (e.g., public safety).</w:t>
      </w:r>
      <w:r w:rsidR="00383F02">
        <w:rPr>
          <w:rStyle w:val="FootnoteReference"/>
        </w:rPr>
        <w:footnoteReference w:id="151"/>
      </w:r>
    </w:p>
    <w:p w14:paraId="3393C128" w14:textId="77777777" w:rsidR="000A6003" w:rsidRDefault="000A6003"/>
    <w:p w14:paraId="4665F898" w14:textId="77777777" w:rsidR="000A6003" w:rsidRDefault="009D0F65">
      <w:r>
        <w:t>The U.S. National Institute of Standards and Technologies (NIST) has documented guidelines for the U.S. Government in NIST Special Publication 800-53 “Security and Privacy Controls for Information Systems and Organizations.”</w:t>
      </w:r>
      <w:r>
        <w:rPr>
          <w:vertAlign w:val="superscript"/>
        </w:rPr>
        <w:footnoteReference w:id="152"/>
      </w:r>
      <w:r>
        <w:t xml:space="preserve"> This provides all U.S. government agencies with strict guidelines on data collection and handling.</w:t>
      </w:r>
    </w:p>
    <w:p w14:paraId="50FEA99F" w14:textId="77777777" w:rsidR="000A6003" w:rsidRDefault="000A6003"/>
    <w:p w14:paraId="54BE20C3" w14:textId="708180D7" w:rsidR="000A6003" w:rsidRDefault="009D0F65">
      <w:r>
        <w:t>Singapore focuses on a variety of principles and implicitly addresses data minimization in their “Privacy-conscious design” principle, “Be assured of your privacy when transacting on-</w:t>
      </w:r>
      <w:r>
        <w:lastRenderedPageBreak/>
        <w:t>the-go by easily hiding sensitive data in your Singpass app profile.”</w:t>
      </w:r>
      <w:r>
        <w:rPr>
          <w:vertAlign w:val="superscript"/>
        </w:rPr>
        <w:footnoteReference w:id="153"/>
      </w:r>
      <w:r w:rsidR="00375FA6">
        <w:t xml:space="preserve"> The information is hidden from services requesting components of an individual’s Singpass data, but a significant amount of data from bank account information and more is still stored in the service. </w:t>
      </w:r>
    </w:p>
    <w:p w14:paraId="13F4F680" w14:textId="77777777" w:rsidR="005A6C3E" w:rsidRDefault="005A6C3E"/>
    <w:p w14:paraId="3FAA50CB" w14:textId="364DBB3B" w:rsidR="005A6C3E" w:rsidRDefault="005A6C3E">
      <w:r>
        <w:t xml:space="preserve">The guidelines offered by the European Data Protection Board (EDPB) provide a good starting place for the design elements that must be considered for a </w:t>
      </w:r>
      <w:r w:rsidR="00691C7F">
        <w:t>good start to approaching</w:t>
      </w:r>
      <w:r>
        <w:t xml:space="preserve"> to data</w:t>
      </w:r>
      <w:r w:rsidR="00691C7F">
        <w:t xml:space="preserve"> minimization</w:t>
      </w:r>
      <w:r>
        <w:t>.</w:t>
      </w:r>
      <w:r>
        <w:rPr>
          <w:rStyle w:val="FootnoteReference"/>
        </w:rPr>
        <w:footnoteReference w:id="154"/>
      </w:r>
      <w:r>
        <w:t xml:space="preserve"> </w:t>
      </w:r>
    </w:p>
    <w:p w14:paraId="34B19679" w14:textId="77777777" w:rsidR="00691C7F" w:rsidRDefault="00691C7F"/>
    <w:p w14:paraId="23BAC241" w14:textId="3AA18B8D" w:rsidR="00691C7F" w:rsidRPr="00691C7F" w:rsidRDefault="00691C7F" w:rsidP="00691C7F">
      <w:r>
        <w:t>More, however, should be done, to support data minimization at scale. Governments, civil society, and organizations</w:t>
      </w:r>
      <w:r w:rsidRPr="00691C7F">
        <w:t xml:space="preserve"> </w:t>
      </w:r>
      <w:r w:rsidR="00477C55">
        <w:t xml:space="preserve">should </w:t>
      </w:r>
      <w:r w:rsidRPr="00691C7F">
        <w:t xml:space="preserve">agree </w:t>
      </w:r>
      <w:r w:rsidR="00477C55">
        <w:t xml:space="preserve">as to </w:t>
      </w:r>
      <w:r w:rsidRPr="00691C7F">
        <w:t xml:space="preserve">what the </w:t>
      </w:r>
      <w:r w:rsidR="00477C55">
        <w:t xml:space="preserve">appropriate, </w:t>
      </w:r>
      <w:r w:rsidRPr="00691C7F">
        <w:t xml:space="preserve">minimum set of data is for a given transaction type. </w:t>
      </w:r>
      <w:r>
        <w:t>For example, documenting that banks should only verify the government-issued digital credentials are authentic, collect</w:t>
      </w:r>
      <w:r w:rsidRPr="00691C7F">
        <w:t xml:space="preserve"> the individuals name and date of birth</w:t>
      </w:r>
      <w:r>
        <w:t>, and</w:t>
      </w:r>
      <w:r w:rsidRPr="00691C7F">
        <w:t xml:space="preserve"> affirm that the credential is not expired</w:t>
      </w:r>
      <w:r>
        <w:t>.</w:t>
      </w:r>
      <w:r w:rsidRPr="00691C7F">
        <w:t xml:space="preserve"> No other information </w:t>
      </w:r>
      <w:r>
        <w:t>may be collected</w:t>
      </w:r>
      <w:r w:rsidRPr="00691C7F">
        <w:t>. </w:t>
      </w:r>
    </w:p>
    <w:p w14:paraId="4EBAF401" w14:textId="77777777" w:rsidR="00691C7F" w:rsidRPr="00691C7F" w:rsidRDefault="00691C7F" w:rsidP="00691C7F"/>
    <w:p w14:paraId="78B11EED" w14:textId="01FC8428" w:rsidR="000A6003" w:rsidRDefault="00691C7F">
      <w:r>
        <w:t xml:space="preserve">If </w:t>
      </w:r>
      <w:r w:rsidRPr="00691C7F">
        <w:t xml:space="preserve">each relying party </w:t>
      </w:r>
      <w:r>
        <w:t>is</w:t>
      </w:r>
      <w:r w:rsidRPr="00691C7F">
        <w:t xml:space="preserve"> </w:t>
      </w:r>
      <w:r>
        <w:t xml:space="preserve">certified and </w:t>
      </w:r>
      <w:r w:rsidRPr="00691C7F">
        <w:t>registered </w:t>
      </w:r>
      <w:r>
        <w:t xml:space="preserve">according to what information they may collect, the technology may be able to enforce data minimization in accordance with whatever laws and regulations have been established. </w:t>
      </w:r>
    </w:p>
    <w:p w14:paraId="3DFC753D" w14:textId="4F66AA34" w:rsidR="000A6003" w:rsidRDefault="00C07B6C">
      <w:pPr>
        <w:pStyle w:val="Heading3"/>
      </w:pPr>
      <w:bookmarkStart w:id="179" w:name="_Toc134081087"/>
      <w:r>
        <w:t>Selective Disclosure</w:t>
      </w:r>
      <w:bookmarkEnd w:id="179"/>
    </w:p>
    <w:p w14:paraId="101D203E" w14:textId="3CAA0D4B" w:rsidR="000A6003" w:rsidRDefault="009D0F65">
      <w:r>
        <w:t xml:space="preserve">To complement the regulations that promote data minimization, consent, and other basic principles, there must be increased development in tools like zero-knowledge proofs and selective disclosure. As noted earlier in the paper, these technologies, which provide the means to release only a subset of data from a credential, rely on </w:t>
      </w:r>
      <w:r w:rsidR="00C07B6C">
        <w:t xml:space="preserve">either </w:t>
      </w:r>
      <w:r>
        <w:t>advanced cryptographic algorithms</w:t>
      </w:r>
      <w:r w:rsidR="00C07B6C">
        <w:t xml:space="preserve"> or new standards under development</w:t>
      </w:r>
      <w:r>
        <w:t>. These algorithms are challenging to implement and are often associated with the need for a specific credential format</w:t>
      </w:r>
      <w:r w:rsidR="00C07B6C">
        <w:t>, and the new standards do not yet have wide adoption</w:t>
      </w:r>
      <w:r>
        <w:t>.</w:t>
      </w:r>
      <w:r>
        <w:rPr>
          <w:vertAlign w:val="superscript"/>
        </w:rPr>
        <w:footnoteReference w:id="155"/>
      </w:r>
      <w:r>
        <w:t xml:space="preserve"> Every</w:t>
      </w:r>
      <w:r w:rsidR="00477C55">
        <w:t>one</w:t>
      </w:r>
      <w:r>
        <w:t xml:space="preserve"> from operating system vendors, computer hardware manufacturers, and standards developers must engage in making the necessary </w:t>
      </w:r>
      <w:r w:rsidR="00C07B6C">
        <w:t xml:space="preserve">technology for selective disclosure </w:t>
      </w:r>
      <w:r>
        <w:t>broadly available.</w:t>
      </w:r>
    </w:p>
    <w:p w14:paraId="2B2FC1BC" w14:textId="77777777" w:rsidR="008E3037" w:rsidRDefault="008E3037">
      <w:pPr>
        <w:spacing w:line="276" w:lineRule="auto"/>
        <w:rPr>
          <w:sz w:val="32"/>
          <w:szCs w:val="32"/>
        </w:rPr>
      </w:pPr>
      <w:r>
        <w:br w:type="page"/>
      </w:r>
    </w:p>
    <w:p w14:paraId="486A9E99" w14:textId="10E1380B" w:rsidR="000A6003" w:rsidRDefault="009D0F65">
      <w:pPr>
        <w:pStyle w:val="Heading2"/>
      </w:pPr>
      <w:bookmarkStart w:id="180" w:name="_Toc134081088"/>
      <w:r>
        <w:lastRenderedPageBreak/>
        <w:t>Addressing Ongoing Concerns</w:t>
      </w:r>
      <w:bookmarkEnd w:id="180"/>
    </w:p>
    <w:p w14:paraId="09EE8ACB" w14:textId="1C7D1336" w:rsidR="000A6003" w:rsidRDefault="009D0F65">
      <w:r>
        <w:t>As the basics of security and privacy are built into the systems using government-issued digital credentials, there are systemic concerns that governments and technologists must address in order to bridge the gaps between the privacy individuals demand, the abilities of the technology, and the tradeoffs being made by governments.</w:t>
      </w:r>
    </w:p>
    <w:p w14:paraId="1FE80C12" w14:textId="77777777" w:rsidR="00477C55" w:rsidRDefault="00477C55"/>
    <w:tbl>
      <w:tblPr>
        <w:tblStyle w:val="TableGrid"/>
        <w:tblW w:w="0" w:type="auto"/>
        <w:tblLook w:val="04A0" w:firstRow="1" w:lastRow="0" w:firstColumn="1" w:lastColumn="0" w:noHBand="0" w:noVBand="1"/>
      </w:tblPr>
      <w:tblGrid>
        <w:gridCol w:w="711"/>
        <w:gridCol w:w="8639"/>
      </w:tblGrid>
      <w:tr w:rsidR="00477C55" w14:paraId="4806EDF4" w14:textId="77777777" w:rsidTr="00095237">
        <w:tc>
          <w:tcPr>
            <w:tcW w:w="9350" w:type="dxa"/>
            <w:gridSpan w:val="2"/>
            <w:shd w:val="clear" w:color="auto" w:fill="8DB3E2" w:themeFill="text2" w:themeFillTint="66"/>
          </w:tcPr>
          <w:p w14:paraId="58F8489F" w14:textId="1162CDEE" w:rsidR="00477C55" w:rsidRPr="00095237" w:rsidRDefault="00477C55" w:rsidP="009D0F65">
            <w:pPr>
              <w:rPr>
                <w:b/>
                <w:bCs/>
              </w:rPr>
            </w:pPr>
            <w:r w:rsidRPr="00095237">
              <w:rPr>
                <w:b/>
                <w:bCs/>
              </w:rPr>
              <w:t>Summary of Recommendations: Addressing Ongoing Concerns</w:t>
            </w:r>
          </w:p>
        </w:tc>
      </w:tr>
      <w:tr w:rsidR="00477C55" w14:paraId="430BBD2B" w14:textId="77777777" w:rsidTr="00095237">
        <w:tc>
          <w:tcPr>
            <w:tcW w:w="9350" w:type="dxa"/>
            <w:gridSpan w:val="2"/>
            <w:shd w:val="clear" w:color="auto" w:fill="C6D9F1" w:themeFill="text2" w:themeFillTint="33"/>
          </w:tcPr>
          <w:p w14:paraId="084B125A" w14:textId="4C5EE2EE" w:rsidR="00477C55" w:rsidRDefault="00477C55" w:rsidP="009D0F65">
            <w:r>
              <w:t>Surveillance</w:t>
            </w:r>
          </w:p>
        </w:tc>
      </w:tr>
      <w:tr w:rsidR="00477C55" w14:paraId="550AC692" w14:textId="77777777" w:rsidTr="009D0F65">
        <w:tc>
          <w:tcPr>
            <w:tcW w:w="711" w:type="dxa"/>
          </w:tcPr>
          <w:p w14:paraId="3464F67C" w14:textId="2801C8EF" w:rsidR="00477C55" w:rsidRDefault="00477C55" w:rsidP="009D0F65">
            <w:r>
              <w:t>6.2.1</w:t>
            </w:r>
          </w:p>
        </w:tc>
        <w:tc>
          <w:tcPr>
            <w:tcW w:w="8639" w:type="dxa"/>
          </w:tcPr>
          <w:p w14:paraId="2050C10D" w14:textId="5FD507FD" w:rsidR="00477C55" w:rsidRDefault="00477C55" w:rsidP="009D0F65">
            <w:r>
              <w:t>Governments must do more to demonstrate their support for and adherence to basic privacy and security principles, especially for their own systems and services.</w:t>
            </w:r>
          </w:p>
        </w:tc>
      </w:tr>
      <w:tr w:rsidR="00477C55" w14:paraId="54377127" w14:textId="77777777" w:rsidTr="00095237">
        <w:tc>
          <w:tcPr>
            <w:tcW w:w="9350" w:type="dxa"/>
            <w:gridSpan w:val="2"/>
            <w:shd w:val="clear" w:color="auto" w:fill="C6D9F1" w:themeFill="text2" w:themeFillTint="33"/>
          </w:tcPr>
          <w:p w14:paraId="664084E7" w14:textId="00BEF3B4" w:rsidR="00477C55" w:rsidRDefault="00477C55" w:rsidP="009D0F65">
            <w:r>
              <w:t>Diversity, Equity, and Inclusion (DEI)</w:t>
            </w:r>
          </w:p>
        </w:tc>
      </w:tr>
      <w:tr w:rsidR="00477C55" w14:paraId="04EC315C" w14:textId="77777777" w:rsidTr="009D0F65">
        <w:tc>
          <w:tcPr>
            <w:tcW w:w="711" w:type="dxa"/>
          </w:tcPr>
          <w:p w14:paraId="5BBCF5EE" w14:textId="44B8850F" w:rsidR="00477C55" w:rsidRDefault="00477C55" w:rsidP="009D0F65">
            <w:r>
              <w:t>6.2.2</w:t>
            </w:r>
          </w:p>
        </w:tc>
        <w:tc>
          <w:tcPr>
            <w:tcW w:w="8639" w:type="dxa"/>
          </w:tcPr>
          <w:p w14:paraId="7B33951B" w14:textId="18102048" w:rsidR="00477C55" w:rsidRDefault="00477C55" w:rsidP="009D0F65">
            <w:r>
              <w:t>Governments and technologists must do more to improve DEI-related issues by engaging in efforts to design equity into their regulations and consider how to improve technology to support a more diverse user base.</w:t>
            </w:r>
          </w:p>
        </w:tc>
      </w:tr>
      <w:tr w:rsidR="006743A6" w14:paraId="6F5D9ACA" w14:textId="77777777" w:rsidTr="00095237">
        <w:tc>
          <w:tcPr>
            <w:tcW w:w="9350" w:type="dxa"/>
            <w:gridSpan w:val="2"/>
            <w:shd w:val="clear" w:color="auto" w:fill="C6D9F1" w:themeFill="text2" w:themeFillTint="33"/>
          </w:tcPr>
          <w:p w14:paraId="0EEB2E58" w14:textId="40569FDC" w:rsidR="006743A6" w:rsidRDefault="006743A6" w:rsidP="009D0F65">
            <w:r>
              <w:t>Single Points of Failure</w:t>
            </w:r>
          </w:p>
        </w:tc>
      </w:tr>
      <w:tr w:rsidR="006743A6" w14:paraId="44A1734D" w14:textId="77777777" w:rsidTr="009D0F65">
        <w:tc>
          <w:tcPr>
            <w:tcW w:w="711" w:type="dxa"/>
          </w:tcPr>
          <w:p w14:paraId="3056B398" w14:textId="262087F4" w:rsidR="006743A6" w:rsidRDefault="006743A6" w:rsidP="009D0F65">
            <w:r>
              <w:t>6.2.3</w:t>
            </w:r>
          </w:p>
        </w:tc>
        <w:tc>
          <w:tcPr>
            <w:tcW w:w="8639" w:type="dxa"/>
          </w:tcPr>
          <w:p w14:paraId="0934AB6F" w14:textId="1AA859E2" w:rsidR="006743A6" w:rsidRDefault="006743A6" w:rsidP="009D0F65">
            <w:r>
              <w:t>Governments must do everything possible to protect the data in their care, avoiding single points of failure and, when storing biometric data, being careful to apply biohashing to the information</w:t>
            </w:r>
          </w:p>
        </w:tc>
      </w:tr>
      <w:tr w:rsidR="006743A6" w14:paraId="40F18793" w14:textId="77777777" w:rsidTr="00095237">
        <w:tc>
          <w:tcPr>
            <w:tcW w:w="9350" w:type="dxa"/>
            <w:gridSpan w:val="2"/>
            <w:shd w:val="clear" w:color="auto" w:fill="C6D9F1" w:themeFill="text2" w:themeFillTint="33"/>
          </w:tcPr>
          <w:p w14:paraId="37C5F916" w14:textId="24BA7B64" w:rsidR="006743A6" w:rsidRDefault="006743A6" w:rsidP="009D0F65">
            <w:r>
              <w:t>Inappropriate Use by Legitimate Actors</w:t>
            </w:r>
          </w:p>
        </w:tc>
      </w:tr>
      <w:tr w:rsidR="006743A6" w14:paraId="2ED6E38C" w14:textId="77777777" w:rsidTr="009D0F65">
        <w:tc>
          <w:tcPr>
            <w:tcW w:w="711" w:type="dxa"/>
          </w:tcPr>
          <w:p w14:paraId="6A16C721" w14:textId="79807D0D" w:rsidR="006743A6" w:rsidRDefault="006743A6" w:rsidP="009D0F65">
            <w:r>
              <w:t>6.2.4</w:t>
            </w:r>
          </w:p>
        </w:tc>
        <w:tc>
          <w:tcPr>
            <w:tcW w:w="8639" w:type="dxa"/>
          </w:tcPr>
          <w:p w14:paraId="06E2334E" w14:textId="2FDE00E5" w:rsidR="006743A6" w:rsidRDefault="003E61A7" w:rsidP="00095237">
            <w:pPr>
              <w:spacing w:line="276" w:lineRule="auto"/>
            </w:pPr>
            <w:r>
              <w:t xml:space="preserve">In order to hold governments accountable for their use of the personal data they collect as their credentials are used, there must be a level of transparency in the system, perhaps through the use of third-party auditors, so that individuals and society are aware of that use. </w:t>
            </w:r>
          </w:p>
        </w:tc>
      </w:tr>
      <w:tr w:rsidR="006743A6" w14:paraId="6DD63C98" w14:textId="77777777" w:rsidTr="00095237">
        <w:tc>
          <w:tcPr>
            <w:tcW w:w="9350" w:type="dxa"/>
            <w:gridSpan w:val="2"/>
            <w:shd w:val="clear" w:color="auto" w:fill="C6D9F1" w:themeFill="text2" w:themeFillTint="33"/>
          </w:tcPr>
          <w:p w14:paraId="762468D2" w14:textId="71C79A49" w:rsidR="006743A6" w:rsidRDefault="006743A6" w:rsidP="006743A6">
            <w:r>
              <w:t>Sustainable Protections</w:t>
            </w:r>
          </w:p>
        </w:tc>
      </w:tr>
      <w:tr w:rsidR="006743A6" w14:paraId="0844CCBA" w14:textId="77777777" w:rsidTr="009D0F65">
        <w:tc>
          <w:tcPr>
            <w:tcW w:w="711" w:type="dxa"/>
          </w:tcPr>
          <w:p w14:paraId="6E740F30" w14:textId="0919768E" w:rsidR="006743A6" w:rsidRDefault="006743A6" w:rsidP="009D0F65">
            <w:r>
              <w:t>6.2.5</w:t>
            </w:r>
          </w:p>
        </w:tc>
        <w:tc>
          <w:tcPr>
            <w:tcW w:w="8639" w:type="dxa"/>
          </w:tcPr>
          <w:p w14:paraId="75779966" w14:textId="6475E662" w:rsidR="006743A6" w:rsidRDefault="006743A6" w:rsidP="006743A6">
            <w:r>
              <w:t>Non-government organizations (NGOs) must engage with all parties in the multi-stakeholder trust model used by digital identity systems in order to guide solutions that will work globally and in a way that buffers legal changes that degrade privacy protections</w:t>
            </w:r>
          </w:p>
        </w:tc>
      </w:tr>
    </w:tbl>
    <w:p w14:paraId="1A4076F4" w14:textId="77777777" w:rsidR="00477C55" w:rsidRDefault="00477C55"/>
    <w:p w14:paraId="1F4F50CF" w14:textId="77777777" w:rsidR="000A6003" w:rsidRDefault="009D0F65">
      <w:pPr>
        <w:pStyle w:val="Heading3"/>
      </w:pPr>
      <w:bookmarkStart w:id="181" w:name="_Toc134081089"/>
      <w:r>
        <w:t>Surveillance</w:t>
      </w:r>
      <w:bookmarkEnd w:id="181"/>
    </w:p>
    <w:p w14:paraId="40DBDE7B" w14:textId="63326725" w:rsidR="000A6003" w:rsidRDefault="00C07B6C">
      <w:r>
        <w:t xml:space="preserve">Many of the </w:t>
      </w:r>
      <w:r w:rsidR="009D0F65">
        <w:t>article</w:t>
      </w:r>
      <w:r>
        <w:t>s</w:t>
      </w:r>
      <w:r w:rsidR="009D0F65">
        <w:t xml:space="preserve"> and research paper</w:t>
      </w:r>
      <w:r>
        <w:t>s</w:t>
      </w:r>
      <w:r w:rsidR="009D0F65">
        <w:t xml:space="preserve"> that considers privacy and government systems include concern</w:t>
      </w:r>
      <w:r>
        <w:t xml:space="preserve"> over the potential for</w:t>
      </w:r>
      <w:r w:rsidR="009D0F65">
        <w:t xml:space="preserve"> government surveillance. In some cases, governments are quite open about the fact that they are using any and all data they collect to bring about their vision of a more safe and efficient society.</w:t>
      </w:r>
    </w:p>
    <w:p w14:paraId="4DF2E0E3" w14:textId="77777777" w:rsidR="000A6003" w:rsidRDefault="000A6003"/>
    <w:p w14:paraId="79AA33E3" w14:textId="4A8C47C4" w:rsidR="000A6003" w:rsidRDefault="001D4739">
      <w:r>
        <w:t xml:space="preserve">If governments are to improve their support of a just democracy and supporter of human rights, they must do more to demonstrate their support for and adherence to basic privacy and security principles, especially for their own systems and services. </w:t>
      </w:r>
    </w:p>
    <w:p w14:paraId="119579FD" w14:textId="77777777" w:rsidR="000A6003" w:rsidRDefault="000A6003"/>
    <w:p w14:paraId="2E758F64" w14:textId="77777777" w:rsidR="000A6003" w:rsidRDefault="009D0F65">
      <w:pPr>
        <w:pStyle w:val="Heading3"/>
      </w:pPr>
      <w:bookmarkStart w:id="182" w:name="_Toc134081090"/>
      <w:r>
        <w:t>Diversity, Equity, and Inclusion</w:t>
      </w:r>
      <w:bookmarkEnd w:id="182"/>
    </w:p>
    <w:p w14:paraId="6F0AB6CF" w14:textId="64D4B91E" w:rsidR="000A6003" w:rsidRDefault="009D0F65">
      <w:r>
        <w:t xml:space="preserve">Diversity, Equity, and Inclusion (DEI) have a close relationship with privacy, though they are unique enough in their own right to warrant a separate study. The use of government-issued digital credentials depends on many things that are not universal: access to technology, ability to use technology, </w:t>
      </w:r>
      <w:r w:rsidR="001D4739">
        <w:t>or</w:t>
      </w:r>
      <w:r>
        <w:t xml:space="preserve"> even desire to use technology.</w:t>
      </w:r>
    </w:p>
    <w:p w14:paraId="091407FB" w14:textId="77777777" w:rsidR="000A6003" w:rsidRDefault="000A6003"/>
    <w:p w14:paraId="6082E77F" w14:textId="77777777" w:rsidR="000A6003" w:rsidRDefault="009D0F65">
      <w:r>
        <w:t>DEI implications also tie back to concerns regarding surveillance. Individuals from minority or otherwise marginalized groups share concerns that use of government services, including use of a digital credential, will result in tracking and negative action by the government.</w:t>
      </w:r>
    </w:p>
    <w:p w14:paraId="18F7DFA3" w14:textId="77777777" w:rsidR="000A6003" w:rsidRDefault="000A6003"/>
    <w:p w14:paraId="784B2449" w14:textId="2060BFA3" w:rsidR="000A6003" w:rsidRDefault="009D0F65">
      <w:r>
        <w:t>As one example of where this is a relevant concern, DEI and privacy advocates point to the issue of algorithm</w:t>
      </w:r>
      <w:r w:rsidR="00C07B6C">
        <w:t>ic</w:t>
      </w:r>
      <w:r>
        <w:t xml:space="preserve"> exclusion. As governments become more advanced in the use of AI to help make decisions around access to services, algorithmic exclusion is growing as a concern. Algorithmic exclusion, defined by Dr. Catherine Tucker as “outcomes where people are excluded from algorithmic processing, meaning that the algorithm cannot make a prediction about them,” because of bad or missing data.</w:t>
      </w:r>
      <w:r>
        <w:rPr>
          <w:vertAlign w:val="superscript"/>
        </w:rPr>
        <w:footnoteReference w:id="156"/>
      </w:r>
    </w:p>
    <w:p w14:paraId="75BC0DEF" w14:textId="77777777" w:rsidR="000A6003" w:rsidRDefault="000A6003"/>
    <w:p w14:paraId="4A6F8F1F" w14:textId="331835AA" w:rsidR="000A6003" w:rsidRDefault="009D0F65">
      <w:r>
        <w:t>When government services rely on digital credentials, then those individuals that cannot obtain those credentials are likely to be excluded from benefiting from those government services.</w:t>
      </w:r>
      <w:r w:rsidR="003B34DD">
        <w:t xml:space="preserve"> </w:t>
      </w:r>
    </w:p>
    <w:p w14:paraId="34D2777F" w14:textId="77777777" w:rsidR="000A6003" w:rsidRDefault="000A6003"/>
    <w:p w14:paraId="093F17CF" w14:textId="1FABF094" w:rsidR="000A6003" w:rsidRDefault="009D0F65">
      <w:r>
        <w:t xml:space="preserve">While efforts such as the new equity guidelines in draft NIST SP 800-63-4 attempt to prevent this type of exclusion, DEI issues remain something that must be addressed by society at large. Governments and technologists </w:t>
      </w:r>
      <w:r w:rsidR="006743A6">
        <w:t>must do</w:t>
      </w:r>
      <w:r>
        <w:t xml:space="preserve"> more to improve these issues by engaging in efforts to design equity into their regulations and consider how to improve technology to support a more diverse user base.</w:t>
      </w:r>
    </w:p>
    <w:p w14:paraId="54811D6A" w14:textId="77777777" w:rsidR="000A6003" w:rsidRDefault="009D0F65">
      <w:pPr>
        <w:pStyle w:val="Heading3"/>
      </w:pPr>
      <w:bookmarkStart w:id="183" w:name="_Toc134081091"/>
      <w:r>
        <w:t>Single Points of Failure</w:t>
      </w:r>
      <w:bookmarkEnd w:id="183"/>
    </w:p>
    <w:p w14:paraId="785254B4" w14:textId="01A48BE9" w:rsidR="000A6003" w:rsidRDefault="009D0F65">
      <w:r>
        <w:t>The expectation that these credentials have a certain level of validation results in the government collecting large amounts of personal data. While perhaps obvious, a corollary to that is a concern about how the government protects that data. In the case of the Aadhaar system, a breach of the centralized collection of data resulted in the</w:t>
      </w:r>
      <w:r w:rsidR="00950CA4">
        <w:t xml:space="preserve"> potential</w:t>
      </w:r>
      <w:r>
        <w:t xml:space="preserve"> exposure of over a billion records. In other government system breaches, biometric data was compromised.</w:t>
      </w:r>
    </w:p>
    <w:p w14:paraId="09887E7F" w14:textId="77777777" w:rsidR="000A6003" w:rsidRDefault="000A6003" w:rsidP="001B3D04"/>
    <w:p w14:paraId="6E7037C6" w14:textId="5FDC0195" w:rsidR="000A6003" w:rsidRDefault="009D0F65">
      <w:r>
        <w:lastRenderedPageBreak/>
        <w:t>Governments must do everything possible to protect the data in their care, avoiding single points of failure and, when storing biometric data, being careful to apply biohashing to the information</w:t>
      </w:r>
      <w:r w:rsidR="001B3D04">
        <w:t xml:space="preserve"> (see section 4.2.2 </w:t>
      </w:r>
      <w:r w:rsidR="001B3D04" w:rsidRPr="001B3D04">
        <w:t>Biometrics Technologies</w:t>
      </w:r>
      <w:r w:rsidR="001B3D04">
        <w:t xml:space="preserve"> for more information on biohashing)</w:t>
      </w:r>
      <w:r>
        <w:t>.</w:t>
      </w:r>
    </w:p>
    <w:p w14:paraId="62189BE4" w14:textId="77777777" w:rsidR="000A6003" w:rsidRDefault="009D0F65">
      <w:pPr>
        <w:pStyle w:val="Heading3"/>
      </w:pPr>
      <w:bookmarkStart w:id="184" w:name="_Toc134081092"/>
      <w:r>
        <w:t>Inappropriate Use by Legitimate Actors</w:t>
      </w:r>
      <w:bookmarkEnd w:id="184"/>
    </w:p>
    <w:p w14:paraId="6521687F" w14:textId="77777777" w:rsidR="000A6003" w:rsidRDefault="009D0F65">
      <w:r>
        <w:t xml:space="preserve">Even where governments are included in regulation requiring compliance to privacy laws (something that is by no means universal) there are always powerful exceptions included under the banner of public safety and/or national security. Depending on the administration in power, the line between legitimate action and abuse is fluid. This concern reflects some of the issues in the area of sustainable protections and concerns regarding government surveillance. </w:t>
      </w:r>
    </w:p>
    <w:p w14:paraId="4DB2B4D7" w14:textId="77777777" w:rsidR="000A6003" w:rsidRDefault="000A6003"/>
    <w:p w14:paraId="5BD07ABD" w14:textId="3230E985" w:rsidR="000A6003" w:rsidRDefault="003E61A7">
      <w:r>
        <w:t xml:space="preserve">In order </w:t>
      </w:r>
      <w:r w:rsidR="009D0F65">
        <w:t xml:space="preserve">to hold governments accountable for their use of the personal data they collect as their credentials are used, </w:t>
      </w:r>
      <w:r>
        <w:t>there must be a level of</w:t>
      </w:r>
      <w:r w:rsidR="009D0F65">
        <w:t xml:space="preserve"> transparency</w:t>
      </w:r>
      <w:r>
        <w:t xml:space="preserve"> </w:t>
      </w:r>
      <w:r w:rsidR="009D0F65">
        <w:t>in the system</w:t>
      </w:r>
      <w:r>
        <w:t>, perhaps through the use of third-party auditors,</w:t>
      </w:r>
      <w:r w:rsidR="009D0F65">
        <w:t xml:space="preserve"> so that individuals and society are aware of that use. </w:t>
      </w:r>
    </w:p>
    <w:p w14:paraId="0556C3EE" w14:textId="77777777" w:rsidR="008923FE" w:rsidRDefault="008923FE" w:rsidP="008923FE">
      <w:pPr>
        <w:pStyle w:val="Heading3"/>
      </w:pPr>
      <w:bookmarkStart w:id="185" w:name="_Toc134081093"/>
      <w:r>
        <w:t>Sustainable Protections</w:t>
      </w:r>
      <w:bookmarkEnd w:id="185"/>
    </w:p>
    <w:p w14:paraId="6CA7359C" w14:textId="197B6358" w:rsidR="008923FE" w:rsidRDefault="008923FE" w:rsidP="008923FE">
      <w:r>
        <w:t>Governments change. Elections, coups, and other actions see changes that will take a country or region from one political system or party to another. Laws that may exist in one regime may be reversed or abused in another. Unfortunately, these are the risks associated with all government systems; they can and will change over time, and not always in ways that improve the lives of their citizens and residents. So while making sure that laws and regulations support individual privacy, particularly with regards to digital identity, that will never be sufficient on its own.</w:t>
      </w:r>
    </w:p>
    <w:p w14:paraId="65C08BB2" w14:textId="77777777" w:rsidR="008923FE" w:rsidRDefault="008923FE" w:rsidP="008923FE"/>
    <w:p w14:paraId="68018E4F" w14:textId="2BB54F04" w:rsidR="000A6003" w:rsidRDefault="008923FE">
      <w:r>
        <w:t xml:space="preserve">This is why technology must evolve with regulation so that one can serve as the balance and control to the other. Non-government organizations (NGOs) like the OECD, the United Nations, and the World Bank, as well as organizations such as the </w:t>
      </w:r>
      <w:r w:rsidR="00D246B8">
        <w:t xml:space="preserve">Secure Identity Alliance (SIA), the </w:t>
      </w:r>
      <w:r>
        <w:t>G</w:t>
      </w:r>
      <w:r w:rsidRPr="003A5F54">
        <w:t>lobal Legal Entity Identifier Foundation (GLEIF</w:t>
      </w:r>
      <w:r>
        <w:t>), the OpenID Foundation, and the World Privacy Forum must engage with all parties</w:t>
      </w:r>
      <w:r w:rsidR="003E61A7">
        <w:t>, from governments to standards organizations to private sector technologists,</w:t>
      </w:r>
      <w:r>
        <w:t xml:space="preserve"> in the multi-stakeholder trust model in order to guide solutions that will work globally and in a way that buffers legal changes that degrade privacy protections.</w:t>
      </w:r>
    </w:p>
    <w:p w14:paraId="6EC4A846" w14:textId="77777777" w:rsidR="008E3037" w:rsidRDefault="008E3037">
      <w:pPr>
        <w:spacing w:line="276" w:lineRule="auto"/>
        <w:rPr>
          <w:sz w:val="32"/>
          <w:szCs w:val="32"/>
        </w:rPr>
      </w:pPr>
      <w:r>
        <w:br w:type="page"/>
      </w:r>
    </w:p>
    <w:p w14:paraId="1EBD4AE3" w14:textId="47ADB9FB" w:rsidR="000A6003" w:rsidRDefault="009D0F65">
      <w:pPr>
        <w:pStyle w:val="Heading2"/>
      </w:pPr>
      <w:bookmarkStart w:id="186" w:name="_Toc134081094"/>
      <w:r>
        <w:lastRenderedPageBreak/>
        <w:t>Getting Ahead of Emerging Concerns</w:t>
      </w:r>
      <w:bookmarkEnd w:id="186"/>
    </w:p>
    <w:p w14:paraId="046ECEE3" w14:textId="2035115A" w:rsidR="000A6003" w:rsidRDefault="009D0F65">
      <w:r>
        <w:t>In addition to the ongoing concerns being discussed by governments, civil society, and technologists, new concerns are emerging as technology evolves. The use of artificial intelligence to make sense of the ever-increasing quantity and use of data is a growing field that touches all identity systems found in governments and the private sector. All stakeholders in the identity ecosystem need to consider these new issues and get ahead of bridging the gaps these introduce. This is highlighted in particular by the expansion of war into the digital arena.</w:t>
      </w:r>
    </w:p>
    <w:p w14:paraId="5F0658E6" w14:textId="77777777" w:rsidR="006743A6" w:rsidRDefault="006743A6"/>
    <w:tbl>
      <w:tblPr>
        <w:tblStyle w:val="TableGrid"/>
        <w:tblW w:w="0" w:type="auto"/>
        <w:tblLook w:val="04A0" w:firstRow="1" w:lastRow="0" w:firstColumn="1" w:lastColumn="0" w:noHBand="0" w:noVBand="1"/>
      </w:tblPr>
      <w:tblGrid>
        <w:gridCol w:w="711"/>
        <w:gridCol w:w="8639"/>
      </w:tblGrid>
      <w:tr w:rsidR="006743A6" w14:paraId="5DB68052" w14:textId="77777777" w:rsidTr="00095237">
        <w:tc>
          <w:tcPr>
            <w:tcW w:w="9350" w:type="dxa"/>
            <w:gridSpan w:val="2"/>
            <w:shd w:val="clear" w:color="auto" w:fill="8DB3E2" w:themeFill="text2" w:themeFillTint="66"/>
          </w:tcPr>
          <w:p w14:paraId="221A1579" w14:textId="095A7043" w:rsidR="006743A6" w:rsidRPr="00095237" w:rsidRDefault="006743A6" w:rsidP="009D0F65">
            <w:pPr>
              <w:rPr>
                <w:b/>
                <w:bCs/>
              </w:rPr>
            </w:pPr>
            <w:r w:rsidRPr="00095237">
              <w:rPr>
                <w:b/>
                <w:bCs/>
              </w:rPr>
              <w:t>Summary of Recommendations: Getting Ahead of Emerging Concerns</w:t>
            </w:r>
          </w:p>
        </w:tc>
      </w:tr>
      <w:tr w:rsidR="006743A6" w14:paraId="03A71699" w14:textId="77777777" w:rsidTr="00095237">
        <w:tc>
          <w:tcPr>
            <w:tcW w:w="9350" w:type="dxa"/>
            <w:gridSpan w:val="2"/>
            <w:shd w:val="clear" w:color="auto" w:fill="C6D9F1" w:themeFill="text2" w:themeFillTint="33"/>
          </w:tcPr>
          <w:p w14:paraId="3D65C0ED" w14:textId="366F8BD0" w:rsidR="006743A6" w:rsidRDefault="006743A6" w:rsidP="009D0F65">
            <w:r>
              <w:t>Digital Warfare</w:t>
            </w:r>
          </w:p>
        </w:tc>
      </w:tr>
      <w:tr w:rsidR="006743A6" w14:paraId="216D9D6B" w14:textId="77777777" w:rsidTr="009D0F65">
        <w:tc>
          <w:tcPr>
            <w:tcW w:w="711" w:type="dxa"/>
          </w:tcPr>
          <w:p w14:paraId="3C1A9E89" w14:textId="4E24477D" w:rsidR="006743A6" w:rsidRDefault="006743A6" w:rsidP="009D0F65">
            <w:r>
              <w:t>6.3.1</w:t>
            </w:r>
          </w:p>
        </w:tc>
        <w:tc>
          <w:tcPr>
            <w:tcW w:w="8639" w:type="dxa"/>
          </w:tcPr>
          <w:p w14:paraId="6440B506" w14:textId="2537F35A" w:rsidR="006743A6" w:rsidRDefault="006743A6" w:rsidP="00095237">
            <w:pPr>
              <w:spacing w:line="276" w:lineRule="auto"/>
            </w:pPr>
            <w:r>
              <w:t xml:space="preserve">Technologists and governments </w:t>
            </w:r>
            <w:r w:rsidR="00E6693C">
              <w:t>m</w:t>
            </w:r>
            <w:r>
              <w:t>ust design their digital identity systems and services in a way that supports the needs of military engagement while still complying with many of the basic security and privacy features noted in this paper.</w:t>
            </w:r>
          </w:p>
        </w:tc>
      </w:tr>
      <w:tr w:rsidR="006743A6" w14:paraId="470F6A64" w14:textId="77777777" w:rsidTr="00095237">
        <w:tc>
          <w:tcPr>
            <w:tcW w:w="9350" w:type="dxa"/>
            <w:gridSpan w:val="2"/>
            <w:shd w:val="clear" w:color="auto" w:fill="C6D9F1" w:themeFill="text2" w:themeFillTint="33"/>
          </w:tcPr>
          <w:p w14:paraId="3401E087" w14:textId="626748BC" w:rsidR="006743A6" w:rsidRDefault="006743A6" w:rsidP="006743A6">
            <w:r>
              <w:t>Deepfakes</w:t>
            </w:r>
          </w:p>
        </w:tc>
      </w:tr>
      <w:tr w:rsidR="006743A6" w14:paraId="54B261E1" w14:textId="77777777" w:rsidTr="009D0F65">
        <w:tc>
          <w:tcPr>
            <w:tcW w:w="711" w:type="dxa"/>
          </w:tcPr>
          <w:p w14:paraId="3DA53852" w14:textId="28AD7858" w:rsidR="006743A6" w:rsidRDefault="006743A6" w:rsidP="009D0F65">
            <w:r>
              <w:t>6.3.2</w:t>
            </w:r>
          </w:p>
        </w:tc>
        <w:tc>
          <w:tcPr>
            <w:tcW w:w="8639" w:type="dxa"/>
          </w:tcPr>
          <w:p w14:paraId="066E68AD" w14:textId="601FA195" w:rsidR="006743A6" w:rsidRPr="00095237" w:rsidRDefault="006743A6" w:rsidP="00095237">
            <w:pPr>
              <w:spacing w:line="276" w:lineRule="auto"/>
              <w:rPr>
                <w:b/>
                <w:bCs/>
              </w:rPr>
            </w:pPr>
            <w:r>
              <w:t>Technologists and governments must stay aware of and responsive to the threats brought by advances in technology that support new ways to get around existing protections.</w:t>
            </w:r>
          </w:p>
        </w:tc>
      </w:tr>
      <w:tr w:rsidR="006743A6" w14:paraId="10F86BB3" w14:textId="77777777" w:rsidTr="00095237">
        <w:tc>
          <w:tcPr>
            <w:tcW w:w="9350" w:type="dxa"/>
            <w:gridSpan w:val="2"/>
            <w:shd w:val="clear" w:color="auto" w:fill="C6D9F1" w:themeFill="text2" w:themeFillTint="33"/>
          </w:tcPr>
          <w:p w14:paraId="2BD4777B" w14:textId="19581C50" w:rsidR="006743A6" w:rsidRDefault="006743A6" w:rsidP="006743A6">
            <w:r>
              <w:t>Metaverse</w:t>
            </w:r>
          </w:p>
        </w:tc>
      </w:tr>
      <w:tr w:rsidR="006743A6" w14:paraId="0B18041B" w14:textId="77777777" w:rsidTr="009D0F65">
        <w:tc>
          <w:tcPr>
            <w:tcW w:w="711" w:type="dxa"/>
          </w:tcPr>
          <w:p w14:paraId="69A13F8F" w14:textId="3E1E5BC8" w:rsidR="006743A6" w:rsidRDefault="00302FDC" w:rsidP="009D0F65">
            <w:r>
              <w:t>6.3.3</w:t>
            </w:r>
          </w:p>
        </w:tc>
        <w:tc>
          <w:tcPr>
            <w:tcW w:w="8639" w:type="dxa"/>
          </w:tcPr>
          <w:p w14:paraId="6A1036ED" w14:textId="727F7A6E" w:rsidR="006743A6" w:rsidRDefault="00042CF2" w:rsidP="006743A6">
            <w:r>
              <w:t xml:space="preserve">Governments and technologists must move more quickly to respond the privacy implications of immersive technologies like the metaverse. </w:t>
            </w:r>
          </w:p>
        </w:tc>
      </w:tr>
      <w:tr w:rsidR="002E65B2" w14:paraId="23ED68D8" w14:textId="77777777" w:rsidTr="00095237">
        <w:tc>
          <w:tcPr>
            <w:tcW w:w="9350" w:type="dxa"/>
            <w:gridSpan w:val="2"/>
            <w:shd w:val="clear" w:color="auto" w:fill="C6D9F1" w:themeFill="text2" w:themeFillTint="33"/>
          </w:tcPr>
          <w:p w14:paraId="58FE0407" w14:textId="76F86C47" w:rsidR="002E65B2" w:rsidRDefault="002E65B2" w:rsidP="006743A6">
            <w:r>
              <w:t>Generative AI and Large Language Models</w:t>
            </w:r>
          </w:p>
        </w:tc>
      </w:tr>
      <w:tr w:rsidR="002E65B2" w14:paraId="79075DAE" w14:textId="77777777" w:rsidTr="009D0F65">
        <w:tc>
          <w:tcPr>
            <w:tcW w:w="711" w:type="dxa"/>
          </w:tcPr>
          <w:p w14:paraId="30ED731C" w14:textId="46A0B374" w:rsidR="002E65B2" w:rsidRDefault="002E65B2" w:rsidP="009D0F65">
            <w:r>
              <w:t>6.3.4</w:t>
            </w:r>
          </w:p>
        </w:tc>
        <w:tc>
          <w:tcPr>
            <w:tcW w:w="8639" w:type="dxa"/>
          </w:tcPr>
          <w:p w14:paraId="2065B617" w14:textId="70B0FF34" w:rsidR="002E65B2" w:rsidRDefault="002E65B2" w:rsidP="006743A6">
            <w:r>
              <w:t>Governments and technologists must focus their efforts on combatting AI-enhanced attacks, possibly through the development of new AI-based security-focused systems.</w:t>
            </w:r>
          </w:p>
        </w:tc>
      </w:tr>
    </w:tbl>
    <w:p w14:paraId="081C3BF2" w14:textId="77777777" w:rsidR="006743A6" w:rsidRDefault="006743A6"/>
    <w:p w14:paraId="2A03980F" w14:textId="77777777" w:rsidR="000A6003" w:rsidRDefault="009D0F65">
      <w:pPr>
        <w:pStyle w:val="Heading3"/>
      </w:pPr>
      <w:bookmarkStart w:id="187" w:name="_Toc134081095"/>
      <w:r>
        <w:t>Digital Warfare</w:t>
      </w:r>
      <w:bookmarkEnd w:id="187"/>
    </w:p>
    <w:p w14:paraId="66ED36C3" w14:textId="77777777" w:rsidR="000A6003" w:rsidRDefault="009D0F65">
      <w:r>
        <w:t xml:space="preserve">Most, if not all, privacy laws and regulations include a provision that moves privacy in abeyance in the case of public safety. This is never more obvious than when a country is at war. </w:t>
      </w:r>
    </w:p>
    <w:p w14:paraId="355AC356" w14:textId="77777777" w:rsidR="000A6003" w:rsidRDefault="000A6003"/>
    <w:p w14:paraId="760494AD" w14:textId="77777777" w:rsidR="000A6003" w:rsidRDefault="009D0F65">
      <w:r>
        <w:t>In a paper by Lothar Fritsch and Simone Fischer-Hübner, “Implications of Privacy &amp; Security Research for the Upcoming Battlefield of Things,” they focused on the future of privacy over the next 25 years when considered against “the Battlefield of Things.”</w:t>
      </w:r>
      <w:r>
        <w:rPr>
          <w:vertAlign w:val="superscript"/>
        </w:rPr>
        <w:footnoteReference w:id="157"/>
      </w:r>
    </w:p>
    <w:p w14:paraId="28C8BA45" w14:textId="77777777" w:rsidR="000A6003" w:rsidRDefault="000A6003"/>
    <w:p w14:paraId="379EA1A3" w14:textId="1AB9FCC3" w:rsidR="000A6003" w:rsidRDefault="006743A6">
      <w:r>
        <w:t xml:space="preserve">Technologists and governments </w:t>
      </w:r>
      <w:r w:rsidR="00E6693C">
        <w:t>m</w:t>
      </w:r>
      <w:r>
        <w:t xml:space="preserve">ust design their digital identity systems and services </w:t>
      </w:r>
      <w:r w:rsidR="009D0F65">
        <w:t>in a way that supports the needs of military engagement while still complying with many of the basic security and privacy features noted in this paper.</w:t>
      </w:r>
    </w:p>
    <w:p w14:paraId="5BABC95F" w14:textId="77777777" w:rsidR="000A6003" w:rsidRDefault="000A6003"/>
    <w:p w14:paraId="68593593" w14:textId="2B64DB9A" w:rsidR="000A6003" w:rsidRDefault="009D0F65" w:rsidP="00DB1F1F">
      <w:pPr>
        <w:pStyle w:val="Quote"/>
        <w:jc w:val="left"/>
      </w:pPr>
      <w:r>
        <w:t>“Data authenticity is an increasingly vital societal concern, and being able to collectively maintain a database without the need for central trust is, therefore, highly relevant. Similarly, centralised systems without adequate protection are single points of failure. Trust in sensor measurements as well as coordinated implementation of operations are critical for defence and civil security. Ensuring and documenting system consensus, algorithmic accountability, and verification of correct function of components will be important features of connected objects and their control systems. Secure logging technology may help investigate anomalies while preserving operation confidentiality</w:t>
      </w:r>
      <w:r w:rsidRPr="00DB1F1F">
        <w:t>.”</w:t>
      </w:r>
      <w:r w:rsidR="00DB1F1F" w:rsidRPr="00DB1F1F">
        <w:t xml:space="preserve"> – </w:t>
      </w:r>
      <w:r w:rsidR="00DB1F1F">
        <w:t xml:space="preserve">L. </w:t>
      </w:r>
      <w:r w:rsidR="00DB1F1F" w:rsidRPr="00DB1F1F">
        <w:t>Fritsch</w:t>
      </w:r>
      <w:r w:rsidR="00DB1F1F">
        <w:t xml:space="preserve"> and S.</w:t>
      </w:r>
      <w:r w:rsidR="00DB1F1F" w:rsidRPr="00DB1F1F">
        <w:t xml:space="preserve"> Fischer-Hübner, </w:t>
      </w:r>
      <w:r w:rsidR="00DB1F1F">
        <w:t>Journal of Information Warfare</w:t>
      </w:r>
      <w:r w:rsidR="00DB1F1F" w:rsidRPr="00A16D52">
        <w:rPr>
          <w:rStyle w:val="FootnoteTextChar"/>
        </w:rPr>
        <w:t xml:space="preserve"> </w:t>
      </w:r>
      <w:r>
        <w:rPr>
          <w:vertAlign w:val="superscript"/>
        </w:rPr>
        <w:footnoteReference w:id="158"/>
      </w:r>
    </w:p>
    <w:p w14:paraId="4169301A" w14:textId="77777777" w:rsidR="000A6003" w:rsidRDefault="000A6003"/>
    <w:p w14:paraId="4422E62F" w14:textId="32886D5D" w:rsidR="001D4739" w:rsidRDefault="009D0F65">
      <w:r>
        <w:t xml:space="preserve">The overlap of private sector and military technologies (e.g., autonomous drones) suggests that privacy and security considerations must be built into all facets of society. </w:t>
      </w:r>
      <w:r w:rsidR="00DF362A" w:rsidRPr="00DF362A">
        <w:t>The potential for military misuse is a powerful concern that suggests checks and balances must be considered at every level.</w:t>
      </w:r>
    </w:p>
    <w:p w14:paraId="4114BC96" w14:textId="5E34511B" w:rsidR="001D4739" w:rsidRDefault="001D4739" w:rsidP="001D4739">
      <w:pPr>
        <w:pStyle w:val="Heading3"/>
      </w:pPr>
      <w:bookmarkStart w:id="188" w:name="_Toc134081096"/>
      <w:r>
        <w:t>Deepfakes</w:t>
      </w:r>
      <w:bookmarkEnd w:id="188"/>
    </w:p>
    <w:p w14:paraId="79E2280F" w14:textId="19583D97" w:rsidR="001D4739" w:rsidRDefault="005B143F">
      <w:r>
        <w:t>Deepfakes, those realistic images and videos created using artificial intelligence and machine learning</w:t>
      </w:r>
      <w:r w:rsidR="00F04668">
        <w:t xml:space="preserve"> (AI/ML)</w:t>
      </w:r>
      <w:r>
        <w:t xml:space="preserve">, </w:t>
      </w:r>
      <w:r w:rsidR="00F04668">
        <w:t>are a growing threat on the digital landscape. With the advances in AI/ML technologies, deepfakes are turning up in fraud and forgery cases and proving to be a challenge to law enforcement.</w:t>
      </w:r>
      <w:r w:rsidR="00F04668">
        <w:rPr>
          <w:rStyle w:val="FootnoteReference"/>
        </w:rPr>
        <w:footnoteReference w:id="159"/>
      </w:r>
      <w:r w:rsidR="00F04668">
        <w:t xml:space="preserve"> </w:t>
      </w:r>
    </w:p>
    <w:p w14:paraId="07BE42E0" w14:textId="77777777" w:rsidR="00F04668" w:rsidRDefault="00F04668"/>
    <w:p w14:paraId="264ABED9" w14:textId="2AC3B447" w:rsidR="001D4739" w:rsidRDefault="00F04668">
      <w:r>
        <w:t xml:space="preserve">It is not hard to imagine the technology used to develop deepfakes being used to conduct criminal activity in a remote credential usage scenario (e.g., the use cases being used for ISO/IEC 27533). Even as technical trust is </w:t>
      </w:r>
      <w:r w:rsidRPr="00F04668">
        <w:t>advancing in efforts such as the OAuth Selective Disclosure efforts and OpenID for Verifiable Presentations</w:t>
      </w:r>
      <w:r>
        <w:t xml:space="preserve">, other technologies are evolving to </w:t>
      </w:r>
      <w:r w:rsidR="00CD1D43">
        <w:t>find other ways to get around their protections.</w:t>
      </w:r>
      <w:r w:rsidR="008869D7">
        <w:rPr>
          <w:rStyle w:val="FootnoteReference"/>
        </w:rPr>
        <w:footnoteReference w:id="160"/>
      </w:r>
    </w:p>
    <w:p w14:paraId="4C129149" w14:textId="77777777" w:rsidR="006743A6" w:rsidRDefault="006743A6"/>
    <w:p w14:paraId="44077EBB" w14:textId="0CE527B3" w:rsidR="00302FDC" w:rsidRDefault="006743A6">
      <w:r>
        <w:t>Technologists and governments must stay aware of and responsive to the threats brought by advances in technology that support new ways to get around existing protections.</w:t>
      </w:r>
    </w:p>
    <w:p w14:paraId="5B322454" w14:textId="042C8220" w:rsidR="00302FDC" w:rsidRDefault="00302FDC" w:rsidP="00302FDC">
      <w:pPr>
        <w:pStyle w:val="Heading3"/>
      </w:pPr>
      <w:bookmarkStart w:id="189" w:name="_Toc134081097"/>
      <w:r w:rsidRPr="00302FDC">
        <w:lastRenderedPageBreak/>
        <w:t>Metaverse</w:t>
      </w:r>
      <w:bookmarkEnd w:id="189"/>
    </w:p>
    <w:p w14:paraId="1AE01B82" w14:textId="3FE5E64C" w:rsidR="00302FDC" w:rsidRDefault="00302FDC" w:rsidP="00302FDC">
      <w:r>
        <w:t xml:space="preserve">The concept of “the metaverse” has received a great deal of attention in recent years, and yet is still considered by many to be a speculative idea. </w:t>
      </w:r>
    </w:p>
    <w:p w14:paraId="6125A94C" w14:textId="77777777" w:rsidR="00302FDC" w:rsidRDefault="00302FDC" w:rsidP="00302FDC"/>
    <w:p w14:paraId="433F2F54" w14:textId="55977C19" w:rsidR="00302FDC" w:rsidRPr="00302FDC" w:rsidRDefault="00302FDC" w:rsidP="00095237">
      <w:pPr>
        <w:pStyle w:val="Quote"/>
        <w:jc w:val="left"/>
      </w:pPr>
      <w:r w:rsidRPr="00302FDC">
        <w:rPr>
          <w:lang w:val="en"/>
        </w:rPr>
        <w:t>The Metaverse is an interconnected web of ubiquitous virtual worlds partly over-lapping with and enhancing the physical world. These virtual worlds enable users who</w:t>
      </w:r>
      <w:r>
        <w:t xml:space="preserve"> </w:t>
      </w:r>
      <w:r w:rsidRPr="00302FDC">
        <w:rPr>
          <w:lang w:val="en"/>
        </w:rPr>
        <w:t>are represented by avatars to connect and interact with each other, and to experience and</w:t>
      </w:r>
      <w:r>
        <w:t xml:space="preserve"> </w:t>
      </w:r>
      <w:r w:rsidRPr="00302FDC">
        <w:rPr>
          <w:lang w:val="en"/>
        </w:rPr>
        <w:t>consume user-generated content in an immersive, scalable, synchronous, and persistent</w:t>
      </w:r>
      <w:r>
        <w:t xml:space="preserve"> </w:t>
      </w:r>
      <w:r w:rsidRPr="00302FDC">
        <w:rPr>
          <w:lang w:val="en"/>
        </w:rPr>
        <w:t>environment. An economic system provides incentives for contributing to the Metaverse.</w:t>
      </w:r>
      <w:r>
        <w:rPr>
          <w:rStyle w:val="FootnoteReference"/>
        </w:rPr>
        <w:footnoteReference w:id="161"/>
      </w:r>
    </w:p>
    <w:p w14:paraId="2D1359E4" w14:textId="77777777" w:rsidR="00302FDC" w:rsidRDefault="00302FDC" w:rsidP="00302FDC"/>
    <w:p w14:paraId="67BE5357" w14:textId="2C85C7A0" w:rsidR="00042CF2" w:rsidRDefault="00302FDC" w:rsidP="00302FDC">
      <w:r>
        <w:t xml:space="preserve">Regardless of whether the term will continue to be used, the concept that </w:t>
      </w:r>
      <w:r w:rsidR="00A52B36">
        <w:t>the digital world is moving to include more immersive experiences is not difficult to imagine. What that means for government-issued digital credentials and privacy, however, suggests a wealth questions and concerns, but very few answers.</w:t>
      </w:r>
      <w:r w:rsidR="00061055">
        <w:rPr>
          <w:rStyle w:val="FootnoteReference"/>
        </w:rPr>
        <w:footnoteReference w:id="162"/>
      </w:r>
      <w:r w:rsidR="00A52B36">
        <w:t xml:space="preserve"> Is it possible to successfully regulate a purely digital world? Will government-issued digital credentials be required to establish some level of certainty about the individuals participating? </w:t>
      </w:r>
    </w:p>
    <w:p w14:paraId="40FA0F4F" w14:textId="77777777" w:rsidR="00042CF2" w:rsidRDefault="00042CF2" w:rsidP="00302FDC"/>
    <w:p w14:paraId="382FFC5B" w14:textId="0CB2AEFB" w:rsidR="00302FDC" w:rsidRDefault="00A52B36" w:rsidP="00302FDC">
      <w:r>
        <w:t xml:space="preserve">Governments and technologists both have a variety of </w:t>
      </w:r>
      <w:r w:rsidR="00042CF2">
        <w:t>privacy-related</w:t>
      </w:r>
      <w:r>
        <w:t xml:space="preserve"> and technological questions to consider, and a limited amount of time to come to workable solutions. The commercial development of the metaverse and other purely digital services </w:t>
      </w:r>
      <w:r w:rsidR="00042CF2">
        <w:t>will likely set individual expectations that may make applying limits after the fact to be an uncomfortable experience for everyone involved</w:t>
      </w:r>
      <w:r w:rsidR="00C65BEF">
        <w:t xml:space="preserve">. </w:t>
      </w:r>
    </w:p>
    <w:p w14:paraId="226A4CED" w14:textId="3AAFFEF8" w:rsidR="00F63E2E" w:rsidRDefault="00F63E2E" w:rsidP="00095237">
      <w:pPr>
        <w:pStyle w:val="Heading3"/>
      </w:pPr>
      <w:bookmarkStart w:id="190" w:name="_Toc134081098"/>
      <w:r>
        <w:t>Generative AI and Large Language Models</w:t>
      </w:r>
      <w:bookmarkEnd w:id="190"/>
    </w:p>
    <w:p w14:paraId="3CAF68B7" w14:textId="29D916B9" w:rsidR="00F63E2E" w:rsidRDefault="00F63E2E" w:rsidP="00302FDC">
      <w:r>
        <w:t xml:space="preserve">Another emerging area of concern is that of generative </w:t>
      </w:r>
      <w:r w:rsidR="002E65B2">
        <w:t>artificial intelligence (AI)</w:t>
      </w:r>
      <w:r>
        <w:t xml:space="preserve"> and large language models</w:t>
      </w:r>
      <w:r w:rsidR="002E65B2">
        <w:t xml:space="preserve"> (LLM)</w:t>
      </w:r>
      <w:r>
        <w:t xml:space="preserve">. </w:t>
      </w:r>
      <w:r w:rsidR="005631A1">
        <w:t>There is a wealth of material in blog posts, social media banter, and main-stream media that consider both the threat and the promise of these models.</w:t>
      </w:r>
    </w:p>
    <w:p w14:paraId="08B6D219" w14:textId="28E49EBC" w:rsidR="005631A1" w:rsidRPr="005631A1" w:rsidRDefault="005631A1" w:rsidP="005631A1">
      <w:pPr>
        <w:pStyle w:val="Quote"/>
      </w:pPr>
    </w:p>
    <w:p w14:paraId="68A6B2AA" w14:textId="1F7FB105" w:rsidR="005631A1" w:rsidRPr="005631A1" w:rsidRDefault="005631A1" w:rsidP="00095237">
      <w:pPr>
        <w:pStyle w:val="Quote"/>
        <w:jc w:val="left"/>
      </w:pPr>
      <w:r w:rsidRPr="005631A1">
        <w:t xml:space="preserve">Large Language Model (LLM) AI is a term that refers to AI models that can generate natural language texts from large amounts of data. Large language models use deep neural networks, such as transformers, to learn from billions or trillions of words, and to produce texts on any topic or domain. Large </w:t>
      </w:r>
      <w:r w:rsidRPr="005631A1">
        <w:lastRenderedPageBreak/>
        <w:t>language models can also perform various natural language tasks, such as classification, summarization, translation, generation, and dialogue. Some examples of large language models are GPT-3, BERT, XLNet, and EleutherAI.</w:t>
      </w:r>
      <w:r>
        <w:rPr>
          <w:rStyle w:val="FootnoteReference"/>
        </w:rPr>
        <w:footnoteReference w:id="163"/>
      </w:r>
    </w:p>
    <w:p w14:paraId="08CE8EEF" w14:textId="77777777" w:rsidR="005631A1" w:rsidRDefault="005631A1" w:rsidP="005631A1"/>
    <w:p w14:paraId="2EC2D533" w14:textId="514732D1" w:rsidR="005631A1" w:rsidRDefault="005631A1" w:rsidP="005631A1">
      <w:r>
        <w:t xml:space="preserve">When considered in the context of government-issued digital credentials and privacy, the concerns are similar to those raised by deepfakes (see section 6.3.2 Deepfakes). Additional concerns come from the observations regarding how much easier generative AI makes creating malware that can target </w:t>
      </w:r>
      <w:r w:rsidR="00217FE0">
        <w:t xml:space="preserve">any online systems, including </w:t>
      </w:r>
      <w:r>
        <w:t xml:space="preserve">government </w:t>
      </w:r>
      <w:r w:rsidR="00217FE0">
        <w:t>services</w:t>
      </w:r>
      <w:r>
        <w:t>.</w:t>
      </w:r>
      <w:r>
        <w:rPr>
          <w:rStyle w:val="FootnoteReference"/>
        </w:rPr>
        <w:footnoteReference w:id="164"/>
      </w:r>
      <w:r>
        <w:t xml:space="preserve"> </w:t>
      </w:r>
    </w:p>
    <w:p w14:paraId="6D8B09F1" w14:textId="77777777" w:rsidR="00217FE0" w:rsidRDefault="00217FE0" w:rsidP="005631A1"/>
    <w:p w14:paraId="53874C70" w14:textId="20B7D5D5" w:rsidR="00217FE0" w:rsidRPr="00095237" w:rsidRDefault="002E65B2" w:rsidP="005631A1">
      <w:r>
        <w:t>Governments and technologists must focus their efforts on combatting AI-enhanced attacks, possibly through the development of new AI-based security-focused systems</w:t>
      </w:r>
      <w:r w:rsidR="00217FE0">
        <w:t xml:space="preserve">. </w:t>
      </w:r>
    </w:p>
    <w:p w14:paraId="42CCBB54" w14:textId="77777777" w:rsidR="000A6003" w:rsidRDefault="009D0F65">
      <w:pPr>
        <w:pStyle w:val="Heading2"/>
      </w:pPr>
      <w:bookmarkStart w:id="191" w:name="_Toc134081099"/>
      <w:r>
        <w:t>The Role of Civil Society</w:t>
      </w:r>
      <w:bookmarkEnd w:id="191"/>
    </w:p>
    <w:p w14:paraId="433B4C79" w14:textId="77777777" w:rsidR="000A6003" w:rsidRDefault="009D0F65">
      <w:r>
        <w:t xml:space="preserve">Civil society offers expertise and passion to both governments and standards development organizations to fill knowledge gaps in their laws, policies, and specifications. As noted earlier with the Privacy Considerations for Internet Protocols callout, the people writing the code (either technical or legal) often have the best of intentions, but they do not have the depth of expertise in the privacy space to address those considerations sufficiently. </w:t>
      </w:r>
    </w:p>
    <w:p w14:paraId="54F19852" w14:textId="77777777" w:rsidR="000A6003" w:rsidRDefault="000A6003"/>
    <w:p w14:paraId="536D5DE0" w14:textId="77777777" w:rsidR="000A6003" w:rsidRDefault="009D0F65">
      <w:r>
        <w:t>The IAPP regularly responds to government consultations, as does the Electronic Privacy Information Center (EPIC). Privacy International, the Electronic Freedom Foundation (EFF), and several other civil society organizations focused on privacy are quite active in this area. This is a critical component of educating and advocating for privacy in the government context. These organizations are often less active, however, with technical standards development. This needs to change.</w:t>
      </w:r>
    </w:p>
    <w:p w14:paraId="25B73D48" w14:textId="77777777" w:rsidR="000A6003" w:rsidRDefault="000A6003"/>
    <w:p w14:paraId="5B8A33D4" w14:textId="2EE77719" w:rsidR="000A6003" w:rsidRDefault="009D0F65">
      <w:r>
        <w:t>One avenue for that change might be the Internet Research Task Force’s Privacy Enhancements and Assessments Research Group (pearg).</w:t>
      </w:r>
      <w:r>
        <w:rPr>
          <w:vertAlign w:val="superscript"/>
        </w:rPr>
        <w:footnoteReference w:id="165"/>
      </w:r>
      <w:r>
        <w:t xml:space="preserve"> As a partner organization to the IETF, the Internet Research Task Force (IRTF) supports research into some of the more challenging problems facing the Internet. While the IRTF is not a standards-setting organization, with sufficient engagement, it may provide another way privacy advocates can inform the standards-setting process.</w:t>
      </w:r>
    </w:p>
    <w:p w14:paraId="5FF32136" w14:textId="77777777" w:rsidR="000A6003" w:rsidRDefault="009D0F65">
      <w:pPr>
        <w:pStyle w:val="Heading1"/>
      </w:pPr>
      <w:bookmarkStart w:id="192" w:name="_Toc134081100"/>
      <w:r>
        <w:lastRenderedPageBreak/>
        <w:t>Conclusion</w:t>
      </w:r>
      <w:bookmarkEnd w:id="192"/>
    </w:p>
    <w:p w14:paraId="0D4DF341" w14:textId="7CB4D9F1" w:rsidR="000A6003" w:rsidRDefault="009D0F65">
      <w:r>
        <w:t>As governments lean into digital transformation and offer high-quality, government-issued digital credentials to their constituencies, they must consider privacy through the lens of the technologically possible and in the design of their laws and legislation.</w:t>
      </w:r>
      <w:r w:rsidR="002D2E99">
        <w:t xml:space="preserve"> Governments have a duty of care to protect the vulnerable members of society and this duty extends to protecting them in this era of digital technologies.</w:t>
      </w:r>
      <w:r>
        <w:t xml:space="preserve"> When considering how to protect society, governments must also remember society is made up of individuals who deserve both protection and agency to make decisions and feel safe in their activities online. Individuals and society as a whole are concerned about how governments will use the data they are perforce being entrusted with. It’s up to governments to address those concerns.</w:t>
      </w:r>
    </w:p>
    <w:p w14:paraId="0279C7E7" w14:textId="77777777" w:rsidR="000A6003" w:rsidRDefault="000A6003"/>
    <w:p w14:paraId="14F6A0BE" w14:textId="77777777" w:rsidR="000A6003" w:rsidRDefault="009D0F65">
      <w:r>
        <w:t>Technology has the role of making privacy in an online world possible. Through protocol design, hardware and software advances, and cryptographic algorithm evolution, technology provides the tools to enable a more privacy-enhancing environment. Considering those tools in a purely neutral scenario, ignoring the threats of how they may be misused or abused in ways that impact privacy, invites new privacy risks that may have been avoided. It’s up to technologists to incorporate privacy awareness into the core of their designs.</w:t>
      </w:r>
    </w:p>
    <w:p w14:paraId="548158DD" w14:textId="77777777" w:rsidR="000A6003" w:rsidRDefault="000A6003"/>
    <w:p w14:paraId="013AFDD7" w14:textId="602A5526" w:rsidR="000A6003" w:rsidRDefault="009D0F65">
      <w:r>
        <w:t xml:space="preserve">Given the scope of how these credentials are used in the world today, understanding the full breadth of privacy implications is an enormous challenge. Civil </w:t>
      </w:r>
      <w:r w:rsidR="00303A8B">
        <w:t>s</w:t>
      </w:r>
      <w:r>
        <w:t xml:space="preserve">ociety has a deep understanding of the privacy landscape and is willing to engage, particularly with governments. That engagement is necessary, but it is not sufficient. Civil society must engage in technological development as well to help technologists know what they don’t know now in the privacy landscape. </w:t>
      </w:r>
    </w:p>
    <w:p w14:paraId="4F28D5A1" w14:textId="77777777" w:rsidR="000A6003" w:rsidRDefault="000A6003"/>
    <w:p w14:paraId="3D6E32B7" w14:textId="3EAF18C2" w:rsidR="00F30F75" w:rsidRDefault="009D0F65" w:rsidP="00F30F75">
      <w:r>
        <w:t xml:space="preserve">And, finally, individuals themselves have a role in helping improve this system. </w:t>
      </w:r>
      <w:r w:rsidR="00F30F75">
        <w:t xml:space="preserve">While it is up to the governments, the services, and the technologists to provide clear, actionable, and straightforward choices, individuals will need to take advantage of the choices available to them. </w:t>
      </w:r>
    </w:p>
    <w:p w14:paraId="2DDA4CCC" w14:textId="77777777" w:rsidR="000A6003" w:rsidRDefault="000A6003"/>
    <w:p w14:paraId="2AC0F990" w14:textId="0570BEEF" w:rsidR="000A6003" w:rsidRDefault="009D0F65">
      <w:r>
        <w:t xml:space="preserve">This paper has only touched the tip of the possibilities in this space. There are more governments issuing credentials to their constituencies. The technologists are constantly at work developing new protocols and tools. </w:t>
      </w:r>
      <w:r w:rsidR="006812E7">
        <w:t>NGOs and c</w:t>
      </w:r>
      <w:r>
        <w:t xml:space="preserve">ivil society </w:t>
      </w:r>
      <w:r w:rsidR="006812E7">
        <w:t xml:space="preserve">are </w:t>
      </w:r>
      <w:r>
        <w:t xml:space="preserve">engaging around the world on issues of privacy and related issues. Each section has hopefully inspired thought and will encourage more in-depth discussion as we all grapple with the incredibly complex environment of government-issued digital credentials and the privacy landscape. </w:t>
      </w:r>
    </w:p>
    <w:p w14:paraId="4832DFC8" w14:textId="77777777" w:rsidR="000A6003" w:rsidRDefault="000A6003"/>
    <w:p w14:paraId="46688E94" w14:textId="6793C75A" w:rsidR="000A6003" w:rsidRDefault="009D0F65" w:rsidP="001D4739">
      <w:pPr>
        <w:pStyle w:val="ListParagraph"/>
        <w:numPr>
          <w:ilvl w:val="0"/>
          <w:numId w:val="11"/>
        </w:numPr>
      </w:pPr>
      <w:r>
        <w:br w:type="page"/>
      </w:r>
    </w:p>
    <w:p w14:paraId="34329A3C" w14:textId="77777777" w:rsidR="000A6003" w:rsidRDefault="009D0F65">
      <w:pPr>
        <w:pStyle w:val="Heading1"/>
      </w:pPr>
      <w:bookmarkStart w:id="193" w:name="_Toc134081101"/>
      <w:r>
        <w:lastRenderedPageBreak/>
        <w:t>Appendix A: Text of the OECD Privacy Principles</w:t>
      </w:r>
      <w:bookmarkEnd w:id="193"/>
    </w:p>
    <w:p w14:paraId="1453BACE" w14:textId="77777777" w:rsidR="000A6003" w:rsidRDefault="009D0F65">
      <w:r>
        <w:t xml:space="preserve">Copied from </w:t>
      </w:r>
      <w:hyperlink r:id="rId26">
        <w:r>
          <w:rPr>
            <w:color w:val="1155CC"/>
            <w:u w:val="single"/>
          </w:rPr>
          <w:t>https://legalinstruments.oecd.org/en/instruments/OECD-LEGAL-0188</w:t>
        </w:r>
      </w:hyperlink>
      <w:r>
        <w:t xml:space="preserve"> </w:t>
      </w:r>
    </w:p>
    <w:p w14:paraId="6B321D7E" w14:textId="77777777" w:rsidR="000A6003" w:rsidRDefault="000A6003"/>
    <w:p w14:paraId="7CA24E80" w14:textId="77777777" w:rsidR="000A6003" w:rsidRDefault="009D0F65">
      <w:pPr>
        <w:spacing w:after="240"/>
        <w:jc w:val="both"/>
        <w:rPr>
          <w:b/>
        </w:rPr>
      </w:pPr>
      <w:r>
        <w:rPr>
          <w:b/>
        </w:rPr>
        <w:t>Collection Limitation Principle</w:t>
      </w:r>
    </w:p>
    <w:p w14:paraId="79AA7BB5" w14:textId="77777777" w:rsidR="000A6003" w:rsidRDefault="009D0F65">
      <w:pPr>
        <w:spacing w:before="240" w:after="240"/>
        <w:jc w:val="both"/>
      </w:pPr>
      <w:r>
        <w:t>7. There should be limits to the collection of personal data and any such data should be obtained by lawful and fair means and, where appropriate, with the knowledge or consent of the data subject.</w:t>
      </w:r>
    </w:p>
    <w:p w14:paraId="1C58CEA9" w14:textId="77777777" w:rsidR="000A6003" w:rsidRDefault="009D0F65">
      <w:pPr>
        <w:spacing w:before="240" w:after="240"/>
        <w:jc w:val="both"/>
        <w:rPr>
          <w:b/>
        </w:rPr>
      </w:pPr>
      <w:r>
        <w:rPr>
          <w:b/>
        </w:rPr>
        <w:t>Data Quality Principle</w:t>
      </w:r>
    </w:p>
    <w:p w14:paraId="15FCDF45" w14:textId="77777777" w:rsidR="000A6003" w:rsidRDefault="009D0F65">
      <w:pPr>
        <w:spacing w:before="240" w:after="240"/>
        <w:jc w:val="both"/>
      </w:pPr>
      <w:r>
        <w:t xml:space="preserve">8. Personal data should be relevant to the purposes for which they are to be used, and, to the extent necessary for those purposes, should be accurate, </w:t>
      </w:r>
      <w:proofErr w:type="gramStart"/>
      <w:r>
        <w:t>complete</w:t>
      </w:r>
      <w:proofErr w:type="gramEnd"/>
      <w:r>
        <w:t xml:space="preserve"> and kept up to date.</w:t>
      </w:r>
    </w:p>
    <w:p w14:paraId="210E248C" w14:textId="77777777" w:rsidR="000A6003" w:rsidRDefault="009D0F65">
      <w:pPr>
        <w:spacing w:before="240" w:after="240"/>
        <w:jc w:val="both"/>
        <w:rPr>
          <w:b/>
        </w:rPr>
      </w:pPr>
      <w:r>
        <w:rPr>
          <w:b/>
        </w:rPr>
        <w:t>Purpose Specification Principle</w:t>
      </w:r>
    </w:p>
    <w:p w14:paraId="369CD777" w14:textId="77777777" w:rsidR="000A6003" w:rsidRDefault="009D0F65">
      <w:pPr>
        <w:spacing w:before="240" w:after="240"/>
        <w:jc w:val="both"/>
      </w:pPr>
      <w:r>
        <w:t>9. The purposes for which personal data are collected should be specified not later than at the time of data collection and the subsequent use limited to the fulfilment of those purposes or such others as are not incompatible with those purposes and as are specified on each occasion of change of purpose.</w:t>
      </w:r>
    </w:p>
    <w:p w14:paraId="3A02CA72" w14:textId="77777777" w:rsidR="000A6003" w:rsidRDefault="009D0F65">
      <w:pPr>
        <w:spacing w:before="240" w:after="240"/>
        <w:jc w:val="both"/>
        <w:rPr>
          <w:b/>
        </w:rPr>
      </w:pPr>
      <w:r>
        <w:rPr>
          <w:b/>
        </w:rPr>
        <w:t>Use Limitation Principle</w:t>
      </w:r>
    </w:p>
    <w:p w14:paraId="181D4591" w14:textId="77777777" w:rsidR="000A6003" w:rsidRDefault="009D0F65">
      <w:pPr>
        <w:spacing w:before="240" w:after="240"/>
        <w:jc w:val="both"/>
      </w:pPr>
      <w:r>
        <w:t>10. Personal data should not be disclosed, made available or otherwise used for purposes other than those specified in accordance with Paragraph 9 except:</w:t>
      </w:r>
    </w:p>
    <w:p w14:paraId="36029076" w14:textId="77777777" w:rsidR="000A6003" w:rsidRDefault="009D0F65">
      <w:pPr>
        <w:spacing w:after="240"/>
        <w:ind w:left="860"/>
        <w:jc w:val="both"/>
      </w:pPr>
      <w:r>
        <w:t>a) with the consent of the data subject; or</w:t>
      </w:r>
    </w:p>
    <w:p w14:paraId="1B6CCEF8" w14:textId="77777777" w:rsidR="000A6003" w:rsidRDefault="009D0F65">
      <w:pPr>
        <w:spacing w:after="240"/>
        <w:ind w:left="860"/>
        <w:jc w:val="both"/>
      </w:pPr>
      <w:r>
        <w:t>b) by the authority of law.</w:t>
      </w:r>
    </w:p>
    <w:p w14:paraId="384CBA3D" w14:textId="77777777" w:rsidR="000A6003" w:rsidRDefault="009D0F65">
      <w:pPr>
        <w:spacing w:before="240" w:after="240"/>
        <w:jc w:val="both"/>
        <w:rPr>
          <w:b/>
        </w:rPr>
      </w:pPr>
      <w:r>
        <w:rPr>
          <w:b/>
        </w:rPr>
        <w:t>Security Safeguards Principle</w:t>
      </w:r>
    </w:p>
    <w:p w14:paraId="72918E33" w14:textId="77777777" w:rsidR="000A6003" w:rsidRDefault="009D0F65">
      <w:pPr>
        <w:spacing w:before="240" w:after="240"/>
        <w:jc w:val="both"/>
      </w:pPr>
      <w:r>
        <w:t xml:space="preserve">11. Personal data should be protected by reasonable security safeguards against such risks as loss or unauthorised access, destruction, use, </w:t>
      </w:r>
      <w:proofErr w:type="gramStart"/>
      <w:r>
        <w:t>modification</w:t>
      </w:r>
      <w:proofErr w:type="gramEnd"/>
      <w:r>
        <w:t xml:space="preserve"> or disclosure of data.</w:t>
      </w:r>
    </w:p>
    <w:p w14:paraId="550924C6" w14:textId="77777777" w:rsidR="000A6003" w:rsidRDefault="009D0F65">
      <w:pPr>
        <w:spacing w:before="240" w:after="240"/>
        <w:jc w:val="both"/>
        <w:rPr>
          <w:b/>
        </w:rPr>
      </w:pPr>
      <w:r>
        <w:rPr>
          <w:b/>
        </w:rPr>
        <w:t>Openness Principle</w:t>
      </w:r>
    </w:p>
    <w:p w14:paraId="5AD4AFA5" w14:textId="77777777" w:rsidR="000A6003" w:rsidRDefault="009D0F65">
      <w:pPr>
        <w:spacing w:before="240" w:after="240"/>
        <w:jc w:val="both"/>
      </w:pPr>
      <w:r>
        <w:t xml:space="preserve">12. There should be a general policy of openness about developments, </w:t>
      </w:r>
      <w:proofErr w:type="gramStart"/>
      <w:r>
        <w:t>practices</w:t>
      </w:r>
      <w:proofErr w:type="gramEnd"/>
      <w:r>
        <w:t xml:space="preserve"> and policies with respect to personal data. Means should be readily available of establishing the existence and nature of personal data, and the main purposes of their use, as well as the identity and usual residence of the data controller.</w:t>
      </w:r>
    </w:p>
    <w:p w14:paraId="2C63467A" w14:textId="77777777" w:rsidR="000A6003" w:rsidRDefault="009D0F65">
      <w:pPr>
        <w:spacing w:before="240" w:after="240"/>
        <w:jc w:val="both"/>
        <w:rPr>
          <w:b/>
        </w:rPr>
      </w:pPr>
      <w:r>
        <w:rPr>
          <w:b/>
        </w:rPr>
        <w:t>Individual Participation Principle</w:t>
      </w:r>
    </w:p>
    <w:p w14:paraId="7793819F" w14:textId="77777777" w:rsidR="000A6003" w:rsidRDefault="009D0F65">
      <w:pPr>
        <w:spacing w:before="240" w:after="240"/>
        <w:jc w:val="both"/>
      </w:pPr>
      <w:r>
        <w:t>13. Individuals should have the right:</w:t>
      </w:r>
    </w:p>
    <w:p w14:paraId="70E09FA7" w14:textId="77777777" w:rsidR="000A6003" w:rsidRDefault="009D0F65">
      <w:pPr>
        <w:spacing w:after="240"/>
        <w:ind w:left="860"/>
        <w:jc w:val="both"/>
      </w:pPr>
      <w:r>
        <w:lastRenderedPageBreak/>
        <w:t>a) to obtain from a data controller, or otherwise, confirmation of whether or not the data controller has data relating to them;</w:t>
      </w:r>
    </w:p>
    <w:p w14:paraId="7459C346" w14:textId="77777777" w:rsidR="000A6003" w:rsidRDefault="009D0F65">
      <w:pPr>
        <w:spacing w:after="240"/>
        <w:ind w:left="860"/>
        <w:jc w:val="both"/>
      </w:pPr>
      <w:r>
        <w:t>b) to have communicated to them, data relating to them</w:t>
      </w:r>
    </w:p>
    <w:p w14:paraId="32A54D24" w14:textId="77777777" w:rsidR="000A6003" w:rsidRDefault="009D0F65">
      <w:pPr>
        <w:spacing w:after="240"/>
        <w:ind w:left="1420"/>
        <w:jc w:val="both"/>
      </w:pPr>
      <w:r>
        <w:t>i. within a reasonable time;</w:t>
      </w:r>
    </w:p>
    <w:p w14:paraId="0A8D2989" w14:textId="77777777" w:rsidR="000A6003" w:rsidRDefault="009D0F65">
      <w:pPr>
        <w:spacing w:after="240"/>
        <w:ind w:left="1420"/>
        <w:jc w:val="both"/>
      </w:pPr>
      <w:r>
        <w:t>ii. at a charge, if any, that is not excessive;</w:t>
      </w:r>
    </w:p>
    <w:p w14:paraId="647F1CDF" w14:textId="77777777" w:rsidR="000A6003" w:rsidRDefault="009D0F65">
      <w:pPr>
        <w:spacing w:after="240"/>
        <w:ind w:left="1420"/>
        <w:jc w:val="both"/>
      </w:pPr>
      <w:r>
        <w:t>iii. in a reasonable manner; and</w:t>
      </w:r>
    </w:p>
    <w:p w14:paraId="7B838860" w14:textId="77777777" w:rsidR="000A6003" w:rsidRDefault="009D0F65">
      <w:pPr>
        <w:spacing w:after="240"/>
        <w:ind w:left="1420"/>
        <w:jc w:val="both"/>
      </w:pPr>
      <w:r>
        <w:t>iv. in a form that is readily intelligible to them;</w:t>
      </w:r>
    </w:p>
    <w:p w14:paraId="0013C443" w14:textId="77777777" w:rsidR="000A6003" w:rsidRDefault="009D0F65">
      <w:pPr>
        <w:spacing w:after="240"/>
        <w:ind w:left="860"/>
        <w:jc w:val="both"/>
      </w:pPr>
      <w:r>
        <w:t>c) to be given reasons if a request made under subparagraphs (a) and (b) is denied, and to be able to challenge such denial; and</w:t>
      </w:r>
    </w:p>
    <w:p w14:paraId="115CFBB6" w14:textId="77777777" w:rsidR="000A6003" w:rsidRDefault="009D0F65">
      <w:pPr>
        <w:spacing w:after="240"/>
        <w:ind w:left="860"/>
        <w:jc w:val="both"/>
      </w:pPr>
      <w:r>
        <w:t xml:space="preserve">d) to challenge data relating to them and, if the challenge is successful to have the data erased, rectified, </w:t>
      </w:r>
      <w:proofErr w:type="gramStart"/>
      <w:r>
        <w:t>completed</w:t>
      </w:r>
      <w:proofErr w:type="gramEnd"/>
      <w:r>
        <w:t xml:space="preserve"> or amended.</w:t>
      </w:r>
    </w:p>
    <w:p w14:paraId="37311F87" w14:textId="77777777" w:rsidR="000A6003" w:rsidRDefault="009D0F65">
      <w:pPr>
        <w:spacing w:before="240" w:after="240"/>
        <w:jc w:val="both"/>
        <w:rPr>
          <w:b/>
        </w:rPr>
      </w:pPr>
      <w:r>
        <w:rPr>
          <w:b/>
        </w:rPr>
        <w:t>Accountability Principle</w:t>
      </w:r>
    </w:p>
    <w:p w14:paraId="72935E31" w14:textId="77777777" w:rsidR="000A6003" w:rsidRDefault="009D0F65">
      <w:pPr>
        <w:spacing w:before="240" w:after="240"/>
        <w:jc w:val="both"/>
      </w:pPr>
      <w:r>
        <w:t>14. A data controller should be accountable for complying with measures which give effect to the principles stated above.</w:t>
      </w:r>
    </w:p>
    <w:p w14:paraId="5902E25B" w14:textId="474FE94D" w:rsidR="003E61A7" w:rsidRPr="00095237" w:rsidRDefault="003E61A7" w:rsidP="003E61A7">
      <w:pPr>
        <w:pStyle w:val="Heading1"/>
      </w:pPr>
      <w:bookmarkStart w:id="194" w:name="_Toc134081102"/>
      <w:r w:rsidRPr="003E61A7">
        <w:t xml:space="preserve">Appendix B: </w:t>
      </w:r>
      <w:r w:rsidRPr="00095237">
        <w:t>ISO/IEC18013-5</w:t>
      </w:r>
      <w:r>
        <w:t xml:space="preserve"> and ISO/IEC 29100</w:t>
      </w:r>
      <w:r w:rsidR="009537AD">
        <w:t xml:space="preserve"> Privacy Principles</w:t>
      </w:r>
      <w:bookmarkEnd w:id="194"/>
    </w:p>
    <w:p w14:paraId="5EB2B398" w14:textId="50732EC1" w:rsidR="003E61A7" w:rsidRPr="003E61A7" w:rsidRDefault="003E61A7" w:rsidP="00095237">
      <w:r w:rsidRPr="003E61A7">
        <w:t xml:space="preserve">This section is an extracted summary of parts of Annex E of ISO/IEC 18013-5. The privacy principles are derived from ISO/IEC 29100 “Privacy </w:t>
      </w:r>
      <w:r w:rsidR="004F3EF4" w:rsidRPr="003E61A7">
        <w:t>framework.</w:t>
      </w:r>
      <w:r w:rsidRPr="003E61A7">
        <w:t>”</w:t>
      </w:r>
    </w:p>
    <w:p w14:paraId="467A9D0D" w14:textId="77777777" w:rsidR="003E61A7" w:rsidRPr="00095237" w:rsidRDefault="003E61A7" w:rsidP="00095237">
      <w:pPr>
        <w:pStyle w:val="Heading2"/>
        <w:rPr>
          <w:sz w:val="36"/>
          <w:szCs w:val="36"/>
        </w:rPr>
      </w:pPr>
      <w:bookmarkStart w:id="195" w:name="_Toc134081103"/>
      <w:r w:rsidRPr="009537AD">
        <w:t>Principles for Privacy Protection</w:t>
      </w:r>
      <w:bookmarkEnd w:id="195"/>
    </w:p>
    <w:p w14:paraId="68E7E405" w14:textId="77777777" w:rsidR="003E61A7" w:rsidRPr="003E61A7" w:rsidRDefault="003E61A7" w:rsidP="00095237">
      <w:pPr>
        <w:pStyle w:val="ListParagraph"/>
        <w:numPr>
          <w:ilvl w:val="0"/>
          <w:numId w:val="695"/>
        </w:numPr>
      </w:pPr>
      <w:r w:rsidRPr="009537AD">
        <w:rPr>
          <w:b/>
          <w:bCs/>
        </w:rPr>
        <w:t>Consent and Choice:</w:t>
      </w:r>
      <w:r w:rsidRPr="003E61A7">
        <w:t xml:space="preserve"> The Data Subject must consent to the processing of their personal data.</w:t>
      </w:r>
    </w:p>
    <w:p w14:paraId="23238E07" w14:textId="77777777" w:rsidR="003E61A7" w:rsidRPr="003E61A7" w:rsidRDefault="003E61A7" w:rsidP="00095237">
      <w:pPr>
        <w:pStyle w:val="ListParagraph"/>
        <w:numPr>
          <w:ilvl w:val="0"/>
          <w:numId w:val="695"/>
        </w:numPr>
      </w:pPr>
      <w:r w:rsidRPr="009537AD">
        <w:rPr>
          <w:b/>
          <w:bCs/>
        </w:rPr>
        <w:t xml:space="preserve">Purpose Legitimacy and Specification: </w:t>
      </w:r>
      <w:r w:rsidRPr="003E61A7">
        <w:t>The Data Subject should be fully aware of the purpose for which their personal data is being collected, processed, and potentially stored.</w:t>
      </w:r>
    </w:p>
    <w:p w14:paraId="260C5FD6" w14:textId="77777777" w:rsidR="003E61A7" w:rsidRPr="003E61A7" w:rsidRDefault="003E61A7" w:rsidP="00095237">
      <w:pPr>
        <w:pStyle w:val="ListParagraph"/>
        <w:numPr>
          <w:ilvl w:val="0"/>
          <w:numId w:val="695"/>
        </w:numPr>
      </w:pPr>
      <w:r w:rsidRPr="009537AD">
        <w:rPr>
          <w:b/>
          <w:bCs/>
        </w:rPr>
        <w:t>Collection Limitation:</w:t>
      </w:r>
      <w:r w:rsidRPr="003E61A7">
        <w:t xml:space="preserve"> The Data Controller and Data Processors should only collect the data necessary for their purpose and should only collect data consistent with these principles.</w:t>
      </w:r>
    </w:p>
    <w:p w14:paraId="43C55E8C" w14:textId="77777777" w:rsidR="003E61A7" w:rsidRPr="003E61A7" w:rsidRDefault="003E61A7" w:rsidP="00095237">
      <w:pPr>
        <w:pStyle w:val="ListParagraph"/>
        <w:numPr>
          <w:ilvl w:val="0"/>
          <w:numId w:val="695"/>
        </w:numPr>
      </w:pPr>
      <w:r w:rsidRPr="009537AD">
        <w:rPr>
          <w:b/>
          <w:bCs/>
        </w:rPr>
        <w:t>Data Minimization:</w:t>
      </w:r>
      <w:r w:rsidRPr="003E61A7">
        <w:t xml:space="preserve"> Processing of data should be minimized to that specifically necessary for the purpose specified.</w:t>
      </w:r>
    </w:p>
    <w:p w14:paraId="05C8F77B" w14:textId="77777777" w:rsidR="003E61A7" w:rsidRPr="003E61A7" w:rsidRDefault="003E61A7" w:rsidP="00095237">
      <w:pPr>
        <w:pStyle w:val="ListParagraph"/>
        <w:numPr>
          <w:ilvl w:val="0"/>
          <w:numId w:val="695"/>
        </w:numPr>
      </w:pPr>
      <w:r w:rsidRPr="009537AD">
        <w:rPr>
          <w:b/>
          <w:bCs/>
        </w:rPr>
        <w:lastRenderedPageBreak/>
        <w:t>Use, Retention, and Disclosure Limitation:</w:t>
      </w:r>
      <w:r w:rsidRPr="003E61A7">
        <w:t xml:space="preserve"> Data Processors should not use personal data of the Data Subject except for the purposes specified and consistent with these other principles. Personal Data should only be retained for the period necessary to provide the service.</w:t>
      </w:r>
    </w:p>
    <w:p w14:paraId="09CADC44" w14:textId="77777777" w:rsidR="003E61A7" w:rsidRPr="003E61A7" w:rsidRDefault="003E61A7" w:rsidP="00095237">
      <w:pPr>
        <w:pStyle w:val="ListParagraph"/>
        <w:numPr>
          <w:ilvl w:val="0"/>
          <w:numId w:val="695"/>
        </w:numPr>
      </w:pPr>
      <w:r w:rsidRPr="009537AD">
        <w:rPr>
          <w:b/>
          <w:bCs/>
        </w:rPr>
        <w:t>Accuracy and Quality:</w:t>
      </w:r>
      <w:r w:rsidRPr="003E61A7">
        <w:t xml:space="preserve"> High accuracy of data being processed and held is in the best interest of the Data Subject and processors should take measures to ensure accuracy.</w:t>
      </w:r>
    </w:p>
    <w:p w14:paraId="4670C11E" w14:textId="77777777" w:rsidR="003E61A7" w:rsidRPr="003E61A7" w:rsidRDefault="003E61A7" w:rsidP="00095237">
      <w:pPr>
        <w:pStyle w:val="ListParagraph"/>
        <w:numPr>
          <w:ilvl w:val="0"/>
          <w:numId w:val="695"/>
        </w:numPr>
      </w:pPr>
      <w:r w:rsidRPr="009537AD">
        <w:rPr>
          <w:b/>
          <w:bCs/>
        </w:rPr>
        <w:t>Openness, Transparency, and Notice:</w:t>
      </w:r>
      <w:r w:rsidRPr="003E61A7">
        <w:t xml:space="preserve"> What data how data is being processed should be well-known to the Data Subject, including obtaining consent, and posting and updating clear notice.</w:t>
      </w:r>
    </w:p>
    <w:p w14:paraId="6EAD8060" w14:textId="77777777" w:rsidR="003E61A7" w:rsidRPr="003E61A7" w:rsidRDefault="003E61A7" w:rsidP="00095237">
      <w:pPr>
        <w:pStyle w:val="ListParagraph"/>
        <w:numPr>
          <w:ilvl w:val="0"/>
          <w:numId w:val="695"/>
        </w:numPr>
      </w:pPr>
      <w:r w:rsidRPr="009537AD">
        <w:rPr>
          <w:b/>
          <w:bCs/>
        </w:rPr>
        <w:t>Individual Participation and Access:</w:t>
      </w:r>
      <w:r w:rsidRPr="003E61A7">
        <w:t xml:space="preserve"> The Data Subject should be involved in the collection, consent, processing, and storage management of their personal data.</w:t>
      </w:r>
    </w:p>
    <w:p w14:paraId="1122D2F9" w14:textId="77777777" w:rsidR="003E61A7" w:rsidRPr="003E61A7" w:rsidRDefault="003E61A7" w:rsidP="00095237">
      <w:pPr>
        <w:pStyle w:val="ListParagraph"/>
        <w:numPr>
          <w:ilvl w:val="0"/>
          <w:numId w:val="695"/>
        </w:numPr>
      </w:pPr>
      <w:r w:rsidRPr="009537AD">
        <w:rPr>
          <w:b/>
          <w:bCs/>
        </w:rPr>
        <w:t>Information security:</w:t>
      </w:r>
      <w:r w:rsidRPr="003E61A7">
        <w:t xml:space="preserve"> Personal data should be protected by security safeguards against such risks as loss or unauthorized access, destruction, use, modification, or disclosure.</w:t>
      </w:r>
    </w:p>
    <w:p w14:paraId="1A9177DD" w14:textId="000443BF" w:rsidR="000A6003" w:rsidRDefault="003E61A7" w:rsidP="00095237">
      <w:pPr>
        <w:pStyle w:val="ListParagraph"/>
        <w:numPr>
          <w:ilvl w:val="0"/>
          <w:numId w:val="695"/>
        </w:numPr>
      </w:pPr>
      <w:r w:rsidRPr="009537AD">
        <w:rPr>
          <w:b/>
          <w:bCs/>
        </w:rPr>
        <w:t>Privacy Compliance, Accountability, and Auditing:</w:t>
      </w:r>
      <w:r w:rsidRPr="009537AD">
        <w:t xml:space="preserve"> The Data Controller and Data Processors must be accountable for all aspects of the processing of Personal Data and provide audit logs and auditability to the Data Subject.</w:t>
      </w:r>
    </w:p>
    <w:sectPr w:rsidR="000A6003" w:rsidSect="0009523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402" w14:textId="77777777" w:rsidR="00064FB2" w:rsidRDefault="00064FB2">
      <w:r>
        <w:separator/>
      </w:r>
    </w:p>
  </w:endnote>
  <w:endnote w:type="continuationSeparator" w:id="0">
    <w:p w14:paraId="67B18B00" w14:textId="77777777" w:rsidR="00064FB2" w:rsidRDefault="0006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45 Light">
    <w:altName w:val="Calibri"/>
    <w:panose1 w:val="020B06040202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1734709"/>
      <w:docPartObj>
        <w:docPartGallery w:val="Page Numbers (Bottom of Page)"/>
        <w:docPartUnique/>
      </w:docPartObj>
    </w:sdtPr>
    <w:sdtContent>
      <w:p w14:paraId="3E5E56EB" w14:textId="632838BD" w:rsidR="00C52CDF" w:rsidRDefault="00C52CDF" w:rsidP="003E7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4D90E" w14:textId="77777777" w:rsidR="00BE5B0B" w:rsidRDefault="00BE5B0B" w:rsidP="00C52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368756"/>
      <w:docPartObj>
        <w:docPartGallery w:val="Page Numbers (Bottom of Page)"/>
        <w:docPartUnique/>
      </w:docPartObj>
    </w:sdtPr>
    <w:sdtContent>
      <w:p w14:paraId="64F5071C" w14:textId="2C239963" w:rsidR="003E7B4B" w:rsidRDefault="003E7B4B" w:rsidP="009D0F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85F455" w14:textId="66F1D10D" w:rsidR="00574B8F" w:rsidRDefault="00574B8F" w:rsidP="003E7B4B">
    <w:pPr>
      <w:pStyle w:val="Footer"/>
      <w:framePr w:wrap="none" w:vAnchor="text" w:hAnchor="margin" w:xAlign="right" w:y="1"/>
      <w:ind w:right="360"/>
      <w:rPr>
        <w:rStyle w:val="PageNumber"/>
      </w:rPr>
    </w:pPr>
  </w:p>
  <w:p w14:paraId="41839E9B" w14:textId="06950EE9" w:rsidR="00C52CDF" w:rsidRDefault="00C52CDF" w:rsidP="00574B8F">
    <w:pPr>
      <w:pStyle w:val="Footer"/>
      <w:framePr w:wrap="none" w:vAnchor="text" w:hAnchor="margin" w:xAlign="right" w:y="1"/>
      <w:ind w:right="360"/>
      <w:rPr>
        <w:rStyle w:val="PageNumber"/>
      </w:rPr>
    </w:pPr>
  </w:p>
  <w:p w14:paraId="13C80664" w14:textId="77777777" w:rsidR="00BE5B0B" w:rsidRDefault="00BE5B0B" w:rsidP="00C52C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E8C9" w14:textId="77777777" w:rsidR="005C6F86" w:rsidRDefault="005C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8C16" w14:textId="77777777" w:rsidR="00064FB2" w:rsidRDefault="00064FB2">
      <w:r>
        <w:separator/>
      </w:r>
    </w:p>
  </w:footnote>
  <w:footnote w:type="continuationSeparator" w:id="0">
    <w:p w14:paraId="2E91540C" w14:textId="77777777" w:rsidR="00064FB2" w:rsidRDefault="00064FB2">
      <w:r>
        <w:continuationSeparator/>
      </w:r>
    </w:p>
  </w:footnote>
  <w:footnote w:id="1">
    <w:p w14:paraId="231D5488" w14:textId="2D8BDC7A" w:rsidR="006B010D" w:rsidRDefault="006B010D" w:rsidP="006B010D">
      <w:pPr>
        <w:pStyle w:val="FootnoteText"/>
      </w:pPr>
      <w:r>
        <w:rPr>
          <w:rStyle w:val="FootnoteReference"/>
        </w:rPr>
        <w:footnoteRef/>
      </w:r>
      <w:r>
        <w:t xml:space="preserve"> ICAO. Doc Series – Doc 9303. </w:t>
      </w:r>
      <w:r w:rsidRPr="00141305">
        <w:t>https://www.icao.int/publications/pages/publication.aspx?docnum=9303</w:t>
      </w:r>
    </w:p>
  </w:footnote>
  <w:footnote w:id="2">
    <w:p w14:paraId="26214B0E" w14:textId="620EF69D" w:rsidR="00AD6391" w:rsidRPr="009860BE" w:rsidRDefault="00AD6391" w:rsidP="009860BE">
      <w:pPr>
        <w:rPr>
          <w:sz w:val="20"/>
          <w:szCs w:val="20"/>
        </w:rPr>
      </w:pPr>
      <w:r w:rsidRPr="007A0BB5">
        <w:rPr>
          <w:rStyle w:val="FootnoteReference"/>
        </w:rPr>
        <w:footnoteRef/>
      </w:r>
      <w:r w:rsidRPr="007A0BB5">
        <w:rPr>
          <w:sz w:val="18"/>
          <w:szCs w:val="18"/>
        </w:rPr>
        <w:t xml:space="preserve"> </w:t>
      </w:r>
      <w:r w:rsidR="00F12243" w:rsidRPr="00F12243">
        <w:rPr>
          <w:sz w:val="18"/>
          <w:szCs w:val="20"/>
        </w:rPr>
        <w:t>World Bank. 2019. ID4D Practitioner’s Guide: Version 1.0 (October 2019). Washington, DC: World Bank. License: Creative Commons Attribution 3.0 IGO (CC BY 3.0 IGO).</w:t>
      </w:r>
    </w:p>
  </w:footnote>
  <w:footnote w:id="3">
    <w:p w14:paraId="34AF4F97" w14:textId="2891806B" w:rsidR="00F12243" w:rsidRPr="003E61A7" w:rsidRDefault="00F12243">
      <w:pPr>
        <w:pStyle w:val="FootnoteText"/>
      </w:pPr>
      <w:r>
        <w:rPr>
          <w:rStyle w:val="FootnoteReference"/>
        </w:rPr>
        <w:footnoteRef/>
      </w:r>
      <w:r>
        <w:t xml:space="preserve"> Ibid.</w:t>
      </w:r>
    </w:p>
  </w:footnote>
  <w:footnote w:id="4">
    <w:p w14:paraId="3DC8EEFD" w14:textId="6EBE44A9" w:rsidR="000A6003" w:rsidRPr="009860BE" w:rsidRDefault="009D0F65" w:rsidP="009860BE">
      <w:pPr>
        <w:rPr>
          <w:sz w:val="20"/>
          <w:szCs w:val="20"/>
        </w:rPr>
      </w:pPr>
      <w:r w:rsidRPr="007A0BB5">
        <w:rPr>
          <w:sz w:val="18"/>
          <w:szCs w:val="18"/>
          <w:vertAlign w:val="superscript"/>
        </w:rPr>
        <w:footnoteRef/>
      </w:r>
      <w:r w:rsidRPr="007A0BB5">
        <w:rPr>
          <w:sz w:val="18"/>
          <w:szCs w:val="18"/>
        </w:rPr>
        <w:t xml:space="preserve"> </w:t>
      </w:r>
      <w:r w:rsidRPr="00C64B4C">
        <w:rPr>
          <w:rStyle w:val="FootnoteTextChar"/>
        </w:rPr>
        <w:t>See for example media reports on the 2018 Aadhaar breach (</w:t>
      </w:r>
      <w:r w:rsidR="009860BE" w:rsidRPr="00C64B4C">
        <w:rPr>
          <w:rStyle w:val="FootnoteTextChar"/>
        </w:rPr>
        <w:t xml:space="preserve">Sapkale, Yogesh. “Aadhaar Data Breach Largest in the World, Says WEF’s Global Risk Report and Avast.” Moneylife NEWS &amp; VIEWS, February 19, 2019. Accessed April 1, 2023. </w:t>
      </w:r>
      <w:hyperlink r:id="rId1" w:history="1">
        <w:r w:rsidR="009860BE" w:rsidRPr="00C64B4C">
          <w:rPr>
            <w:rStyle w:val="FootnoteTextChar"/>
          </w:rPr>
          <w:t>https://www.moneylife.in/article/aadhaar-data-breach-largest-in-the-world-says-wefs-global-risk-report-and-avast/56384.html</w:t>
        </w:r>
      </w:hyperlink>
      <w:r w:rsidR="009860BE" w:rsidRPr="00C64B4C">
        <w:rPr>
          <w:rStyle w:val="FootnoteTextChar"/>
        </w:rPr>
        <w:t xml:space="preserve">) </w:t>
      </w:r>
      <w:r w:rsidRPr="00C64B4C">
        <w:rPr>
          <w:rStyle w:val="FootnoteTextChar"/>
        </w:rPr>
        <w:t>and reports on various U.S. government breaches (</w:t>
      </w:r>
      <w:r w:rsidR="009860BE" w:rsidRPr="00C64B4C">
        <w:rPr>
          <w:rStyle w:val="FootnoteTextChar"/>
        </w:rPr>
        <w:t xml:space="preserve">Lord, Nate. “Top 10 Biggest Government Data Breaches of All Time in the U.S.” Digital Guardian, October 6, 2020. Accessed April 1, 2023. </w:t>
      </w:r>
      <w:hyperlink r:id="rId2" w:history="1">
        <w:r w:rsidR="009860BE" w:rsidRPr="00C64B4C">
          <w:rPr>
            <w:rStyle w:val="FootnoteTextChar"/>
          </w:rPr>
          <w:t>https://www.digitalguardian.com/blog/top-10-biggest-us-government-data-breaches-all-time</w:t>
        </w:r>
      </w:hyperlink>
      <w:r w:rsidRPr="00C64B4C">
        <w:rPr>
          <w:rStyle w:val="FootnoteTextChar"/>
        </w:rPr>
        <w:t>)</w:t>
      </w:r>
      <w:r w:rsidR="009860BE" w:rsidRPr="00C64B4C">
        <w:rPr>
          <w:rStyle w:val="FootnoteTextChar"/>
        </w:rPr>
        <w:t>.</w:t>
      </w:r>
      <w:r w:rsidRPr="00C64B4C">
        <w:rPr>
          <w:rStyle w:val="FootnoteTextChar"/>
        </w:rPr>
        <w:t xml:space="preserve"> </w:t>
      </w:r>
    </w:p>
  </w:footnote>
  <w:footnote w:id="5">
    <w:p w14:paraId="203F0337" w14:textId="2AF73C89" w:rsidR="00E63096" w:rsidRPr="003E61A7" w:rsidRDefault="00E63096">
      <w:pPr>
        <w:pStyle w:val="FootnoteText"/>
      </w:pPr>
      <w:r>
        <w:rPr>
          <w:rStyle w:val="FootnoteReference"/>
        </w:rPr>
        <w:footnoteRef/>
      </w:r>
      <w:r>
        <w:t xml:space="preserve"> See for example: Center for Human Rights &amp; Global Justice. “Paving the Road to Hell? </w:t>
      </w:r>
      <w:r w:rsidRPr="00E63096">
        <w:rPr>
          <w:lang w:val="en"/>
        </w:rPr>
        <w:t>A Primer on the Role of the World</w:t>
      </w:r>
      <w:r>
        <w:t xml:space="preserve"> </w:t>
      </w:r>
      <w:r w:rsidRPr="00E63096">
        <w:rPr>
          <w:lang w:val="en"/>
        </w:rPr>
        <w:t>Bank and Global Networks in</w:t>
      </w:r>
      <w:r>
        <w:t xml:space="preserve"> </w:t>
      </w:r>
      <w:r w:rsidRPr="00E63096">
        <w:rPr>
          <w:lang w:val="en"/>
        </w:rPr>
        <w:t>Promoting Digital ID</w:t>
      </w:r>
      <w:r>
        <w:t xml:space="preserve">.” NYU School of Law. June 2022. </w:t>
      </w:r>
      <w:r w:rsidRPr="00E63096">
        <w:t>https://chrgj.org/wp-content/uploads/2022/06/Report_Paving-a-Digital-Road-to-Hell.pdf</w:t>
      </w:r>
    </w:p>
  </w:footnote>
  <w:footnote w:id="6">
    <w:p w14:paraId="38DB68E2" w14:textId="0B42C27B" w:rsidR="00D07F29" w:rsidRPr="009860BE" w:rsidRDefault="00D07F29" w:rsidP="009860BE">
      <w:pPr>
        <w:rPr>
          <w:sz w:val="20"/>
          <w:szCs w:val="20"/>
        </w:rPr>
      </w:pPr>
      <w:r w:rsidRPr="007A0BB5">
        <w:rPr>
          <w:rStyle w:val="FootnoteReference"/>
        </w:rPr>
        <w:footnoteRef/>
      </w:r>
      <w:r w:rsidRPr="007A0BB5">
        <w:rPr>
          <w:sz w:val="18"/>
          <w:szCs w:val="18"/>
        </w:rPr>
        <w:t xml:space="preserve"> </w:t>
      </w:r>
      <w:r w:rsidR="009860BE" w:rsidRPr="00C64B4C">
        <w:rPr>
          <w:rStyle w:val="FootnoteTextChar"/>
        </w:rPr>
        <w:t xml:space="preserve">“Should I Give My ID to a Dating Website/App? | </w:t>
      </w:r>
      <w:hyperlink r:id="rId3" w:history="1">
        <w:r w:rsidR="009860BE" w:rsidRPr="00C64B4C">
          <w:rPr>
            <w:rStyle w:val="FootnoteTextChar"/>
          </w:rPr>
          <w:t>PrivacyRights.Org</w:t>
        </w:r>
      </w:hyperlink>
      <w:r w:rsidR="009860BE" w:rsidRPr="00C64B4C">
        <w:rPr>
          <w:rStyle w:val="FootnoteTextChar"/>
        </w:rPr>
        <w:t xml:space="preserve">,” February 10, 2020. Accessed April 1, 2023. </w:t>
      </w:r>
      <w:hyperlink r:id="rId4" w:history="1">
        <w:r w:rsidR="009860BE" w:rsidRPr="00C64B4C">
          <w:rPr>
            <w:rStyle w:val="FootnoteTextChar"/>
          </w:rPr>
          <w:t>https://privacyrights.org/resources/should-i-give-my-id-dating-websiteapp</w:t>
        </w:r>
      </w:hyperlink>
      <w:r w:rsidR="009860BE" w:rsidRPr="00C64B4C">
        <w:rPr>
          <w:rStyle w:val="FootnoteTextChar"/>
        </w:rPr>
        <w:t>.</w:t>
      </w:r>
    </w:p>
  </w:footnote>
  <w:footnote w:id="7">
    <w:p w14:paraId="60852511" w14:textId="62B6CC9B" w:rsidR="000A6003" w:rsidRPr="007A0BB5" w:rsidRDefault="009D0F65" w:rsidP="009860BE">
      <w:pPr>
        <w:rPr>
          <w:sz w:val="18"/>
          <w:szCs w:val="18"/>
        </w:rPr>
      </w:pPr>
      <w:r w:rsidRPr="007A0BB5">
        <w:rPr>
          <w:sz w:val="18"/>
          <w:szCs w:val="18"/>
          <w:vertAlign w:val="superscript"/>
        </w:rPr>
        <w:footnoteRef/>
      </w:r>
      <w:r w:rsidRPr="007A0BB5">
        <w:rPr>
          <w:rFonts w:eastAsia="Arial Unicode MS"/>
          <w:sz w:val="18"/>
          <w:szCs w:val="18"/>
        </w:rPr>
        <w:t xml:space="preserve"> </w:t>
      </w:r>
      <w:r w:rsidRPr="007A0BB5">
        <w:rPr>
          <w:rStyle w:val="FootnoteTextChar"/>
          <w:szCs w:val="18"/>
        </w:rPr>
        <w:t>“</w:t>
      </w:r>
      <w:r w:rsidR="009860BE" w:rsidRPr="007A0BB5">
        <w:rPr>
          <w:rStyle w:val="FootnoteTextChar"/>
          <w:szCs w:val="18"/>
        </w:rPr>
        <w:t>LexisNexis Risk Solutions. “The True Cost of FraudTM Study | LexisNexis Risk Solutions,” 2022.</w:t>
      </w:r>
      <w:r w:rsidR="008302DE" w:rsidRPr="007A0BB5">
        <w:rPr>
          <w:rStyle w:val="FootnoteTextChar"/>
          <w:szCs w:val="18"/>
        </w:rPr>
        <w:t xml:space="preserve"> Accessed April 1, 2023.</w:t>
      </w:r>
      <w:r w:rsidR="009860BE" w:rsidRPr="007A0BB5">
        <w:rPr>
          <w:rStyle w:val="FootnoteTextChar"/>
          <w:szCs w:val="18"/>
        </w:rPr>
        <w:t xml:space="preserve"> </w:t>
      </w:r>
      <w:hyperlink r:id="rId5" w:history="1">
        <w:r w:rsidR="009860BE" w:rsidRPr="007A0BB5">
          <w:rPr>
            <w:rStyle w:val="FootnoteTextChar"/>
            <w:szCs w:val="18"/>
          </w:rPr>
          <w:t>https://risk.lexisnexis.com/insights-resources/research/us-ca-true-cost-of-fraud-study</w:t>
        </w:r>
      </w:hyperlink>
      <w:r w:rsidR="009860BE" w:rsidRPr="007A0BB5">
        <w:rPr>
          <w:rStyle w:val="FootnoteTextChar"/>
          <w:szCs w:val="18"/>
        </w:rPr>
        <w:t>.</w:t>
      </w:r>
    </w:p>
  </w:footnote>
  <w:footnote w:id="8">
    <w:p w14:paraId="6EEBF01D" w14:textId="7930F4D9" w:rsidR="000A6003" w:rsidRPr="007A0BB5" w:rsidRDefault="009D0F65" w:rsidP="00BB1906">
      <w:pPr>
        <w:rPr>
          <w:sz w:val="18"/>
          <w:szCs w:val="18"/>
        </w:rPr>
      </w:pPr>
      <w:r w:rsidRPr="007A0BB5">
        <w:rPr>
          <w:sz w:val="18"/>
          <w:szCs w:val="18"/>
          <w:vertAlign w:val="superscript"/>
        </w:rPr>
        <w:footnoteRef/>
      </w:r>
      <w:r w:rsidRPr="007A0BB5">
        <w:rPr>
          <w:sz w:val="18"/>
          <w:szCs w:val="18"/>
        </w:rPr>
        <w:t xml:space="preserve"> </w:t>
      </w:r>
      <w:r w:rsidR="00BB1906" w:rsidRPr="007A0BB5">
        <w:rPr>
          <w:rStyle w:val="FootnoteTextChar"/>
          <w:szCs w:val="18"/>
        </w:rPr>
        <w:t xml:space="preserve">Privacy International. “Digital National ID Systems: Ways, Shapes and Forms,” October 26, 2021. Accessed April 1, 2023. </w:t>
      </w:r>
      <w:hyperlink r:id="rId6" w:history="1">
        <w:r w:rsidR="00BB1906" w:rsidRPr="007A0BB5">
          <w:rPr>
            <w:rStyle w:val="FootnoteTextChar"/>
            <w:szCs w:val="18"/>
          </w:rPr>
          <w:t>https://privacyinternational.org/long-read/4656/digital-national-id-systems-ways-shapes-and-forms</w:t>
        </w:r>
      </w:hyperlink>
      <w:r w:rsidR="00BB1906" w:rsidRPr="007A0BB5">
        <w:rPr>
          <w:rStyle w:val="FootnoteTextChar"/>
          <w:szCs w:val="18"/>
        </w:rPr>
        <w:t>.</w:t>
      </w:r>
    </w:p>
  </w:footnote>
  <w:footnote w:id="9">
    <w:p w14:paraId="6C677ACC" w14:textId="59069460" w:rsidR="000A6003" w:rsidRPr="00BB1906" w:rsidRDefault="009D0F65" w:rsidP="00BB1906">
      <w:pPr>
        <w:rPr>
          <w:sz w:val="20"/>
          <w:szCs w:val="20"/>
        </w:rPr>
      </w:pPr>
      <w:r w:rsidRPr="007A0BB5">
        <w:rPr>
          <w:sz w:val="18"/>
          <w:szCs w:val="18"/>
          <w:vertAlign w:val="superscript"/>
        </w:rPr>
        <w:footnoteRef/>
      </w:r>
      <w:r w:rsidRPr="007A0BB5">
        <w:rPr>
          <w:sz w:val="18"/>
          <w:szCs w:val="18"/>
        </w:rPr>
        <w:t xml:space="preserve"> </w:t>
      </w:r>
      <w:r w:rsidR="00BB1906" w:rsidRPr="007A0BB5">
        <w:rPr>
          <w:rStyle w:val="FootnoteTextChar"/>
          <w:szCs w:val="18"/>
        </w:rPr>
        <w:t xml:space="preserve">Vanberg, Aysem Diker. “Informational Privacy Post GDPR – End of the Road or the Start of a Long Journey?” The International Journal of Human Rights 25, no. 1 (January 2, 2021): 52–78. </w:t>
      </w:r>
      <w:hyperlink r:id="rId7" w:history="1">
        <w:r w:rsidR="00BB1906" w:rsidRPr="007A0BB5">
          <w:rPr>
            <w:rStyle w:val="FootnoteTextChar"/>
            <w:szCs w:val="18"/>
          </w:rPr>
          <w:t>https://doi.org/10.1080/13642987.2020.1789109</w:t>
        </w:r>
      </w:hyperlink>
      <w:r w:rsidR="00BB1906" w:rsidRPr="007A0BB5">
        <w:rPr>
          <w:rStyle w:val="FootnoteTextChar"/>
          <w:szCs w:val="18"/>
        </w:rPr>
        <w:t>.</w:t>
      </w:r>
    </w:p>
  </w:footnote>
  <w:footnote w:id="10">
    <w:p w14:paraId="79EF628C" w14:textId="3C5CE905" w:rsidR="000A6003" w:rsidRPr="007A0BB5" w:rsidRDefault="009D0F65" w:rsidP="00191C5E">
      <w:pPr>
        <w:rPr>
          <w:sz w:val="18"/>
          <w:szCs w:val="18"/>
        </w:rPr>
      </w:pPr>
      <w:r w:rsidRPr="007A0BB5">
        <w:rPr>
          <w:sz w:val="18"/>
          <w:szCs w:val="18"/>
          <w:vertAlign w:val="superscript"/>
        </w:rPr>
        <w:footnoteRef/>
      </w:r>
      <w:r w:rsidRPr="007A0BB5">
        <w:rPr>
          <w:sz w:val="18"/>
          <w:szCs w:val="18"/>
        </w:rPr>
        <w:t xml:space="preserve"> </w:t>
      </w:r>
      <w:r w:rsidR="00191C5E" w:rsidRPr="007A0BB5">
        <w:rPr>
          <w:rStyle w:val="FootnoteTextChar"/>
          <w:szCs w:val="18"/>
        </w:rPr>
        <w:t xml:space="preserve">OECD. “Recommendation of the Council Concerning Guidelines Governing the Protection of Privacy and Transborder Flows of Personal Data.” OECD Legal Instruments, October 7, 2013. </w:t>
      </w:r>
      <w:hyperlink r:id="rId8" w:history="1">
        <w:r w:rsidR="00191C5E" w:rsidRPr="007A0BB5">
          <w:rPr>
            <w:rStyle w:val="FootnoteTextChar"/>
            <w:szCs w:val="18"/>
          </w:rPr>
          <w:t>https://legalinstruments.oecd.org/en/instruments/OECD-LEGAL-0188</w:t>
        </w:r>
      </w:hyperlink>
      <w:r w:rsidR="00191C5E" w:rsidRPr="007A0BB5">
        <w:rPr>
          <w:rStyle w:val="FootnoteTextChar"/>
          <w:szCs w:val="18"/>
        </w:rPr>
        <w:t>.</w:t>
      </w:r>
    </w:p>
  </w:footnote>
  <w:footnote w:id="11">
    <w:p w14:paraId="6FA49356" w14:textId="305953C1" w:rsidR="000A6003" w:rsidRPr="007A0BB5" w:rsidRDefault="009D0F65">
      <w:pPr>
        <w:rPr>
          <w:sz w:val="18"/>
          <w:szCs w:val="18"/>
        </w:rPr>
      </w:pPr>
      <w:r w:rsidRPr="007A0BB5">
        <w:rPr>
          <w:sz w:val="18"/>
          <w:szCs w:val="18"/>
          <w:vertAlign w:val="superscript"/>
        </w:rPr>
        <w:footnoteRef/>
      </w:r>
      <w:r w:rsidRPr="007A0BB5">
        <w:rPr>
          <w:sz w:val="18"/>
          <w:szCs w:val="18"/>
        </w:rPr>
        <w:t xml:space="preserve"> </w:t>
      </w:r>
      <w:r w:rsidRPr="007A0BB5">
        <w:rPr>
          <w:rStyle w:val="FootnoteTextChar"/>
          <w:szCs w:val="18"/>
        </w:rPr>
        <w:t>See Appendix A for the specific text of these principles</w:t>
      </w:r>
      <w:r w:rsidR="00191C5E" w:rsidRPr="007A0BB5">
        <w:rPr>
          <w:rStyle w:val="FootnoteTextChar"/>
          <w:szCs w:val="18"/>
        </w:rPr>
        <w:t>.</w:t>
      </w:r>
    </w:p>
  </w:footnote>
  <w:footnote w:id="12">
    <w:p w14:paraId="17B53B76" w14:textId="288EC90D" w:rsidR="000A6003" w:rsidRDefault="009D0F65" w:rsidP="00191C5E">
      <w:pPr>
        <w:rPr>
          <w:sz w:val="20"/>
          <w:szCs w:val="20"/>
        </w:rPr>
      </w:pPr>
      <w:r w:rsidRPr="007A0BB5">
        <w:rPr>
          <w:sz w:val="18"/>
          <w:szCs w:val="18"/>
          <w:vertAlign w:val="superscript"/>
        </w:rPr>
        <w:footnoteRef/>
      </w:r>
      <w:r w:rsidRPr="007A0BB5">
        <w:rPr>
          <w:sz w:val="18"/>
          <w:szCs w:val="18"/>
        </w:rPr>
        <w:t xml:space="preserve"> </w:t>
      </w:r>
      <w:r w:rsidRPr="007A0BB5">
        <w:rPr>
          <w:rStyle w:val="FootnoteTextChar"/>
          <w:szCs w:val="18"/>
        </w:rPr>
        <w:t xml:space="preserve">Details regarding the impact of the OECD Privacy Guidelines are available in a recently declassified report: </w:t>
      </w:r>
      <w:r w:rsidR="00191C5E" w:rsidRPr="007A0BB5">
        <w:rPr>
          <w:rStyle w:val="FootnoteTextChar"/>
          <w:szCs w:val="18"/>
        </w:rPr>
        <w:t xml:space="preserve">OECD Council. “Report On The Implementation Of The Recommendation Of The Council Concerning Guidelines Governing The Protection Of Privacy And Transborder Flows Of Personal Data: (Note by the Secretary-General),” March 17, 2021. </w:t>
      </w:r>
      <w:hyperlink r:id="rId9" w:history="1">
        <w:r w:rsidR="00191C5E" w:rsidRPr="007A0BB5">
          <w:rPr>
            <w:rStyle w:val="FootnoteTextChar"/>
            <w:szCs w:val="18"/>
          </w:rPr>
          <w:t>https://one.oecd.org/document/C(2021)42/en/pdf</w:t>
        </w:r>
      </w:hyperlink>
      <w:r w:rsidR="00191C5E" w:rsidRPr="007A0BB5">
        <w:rPr>
          <w:rStyle w:val="FootnoteTextChar"/>
          <w:szCs w:val="18"/>
        </w:rPr>
        <w:t>.</w:t>
      </w:r>
      <w:r w:rsidR="006C78CB">
        <w:rPr>
          <w:rStyle w:val="FootnoteTextChar"/>
          <w:szCs w:val="18"/>
        </w:rPr>
        <w:t xml:space="preserve"> The APEC Privacy Framework may be found at </w:t>
      </w:r>
      <w:r w:rsidR="006C78CB" w:rsidRPr="006C78CB">
        <w:rPr>
          <w:rStyle w:val="FootnoteTextChar"/>
          <w:szCs w:val="18"/>
        </w:rPr>
        <w:t>https://cbprs.blob.core.windows.net/files/2015%20APEC%20Privacy%20Framework.pdf</w:t>
      </w:r>
      <w:r w:rsidR="006C78CB">
        <w:rPr>
          <w:rStyle w:val="FootnoteTextChar"/>
          <w:szCs w:val="18"/>
        </w:rPr>
        <w:t>.</w:t>
      </w:r>
    </w:p>
  </w:footnote>
  <w:footnote w:id="13">
    <w:p w14:paraId="212A5CA2" w14:textId="7687C161" w:rsidR="00E02CDD" w:rsidRPr="007A0BB5" w:rsidRDefault="00E02CDD" w:rsidP="00E02CDD">
      <w:pPr>
        <w:rPr>
          <w:sz w:val="18"/>
          <w:szCs w:val="18"/>
        </w:rPr>
      </w:pPr>
      <w:r w:rsidRPr="007A0BB5">
        <w:rPr>
          <w:rStyle w:val="FootnoteReference"/>
        </w:rPr>
        <w:footnoteRef/>
      </w:r>
      <w:r w:rsidRPr="007A0BB5">
        <w:rPr>
          <w:sz w:val="18"/>
          <w:szCs w:val="18"/>
        </w:rPr>
        <w:t xml:space="preserve"> </w:t>
      </w:r>
      <w:r w:rsidRPr="007A0BB5">
        <w:rPr>
          <w:rStyle w:val="FootnoteTextChar"/>
          <w:szCs w:val="18"/>
        </w:rPr>
        <w:t xml:space="preserve">ISO/IEC 29100:2011 Information technology — Security techniques — Privacy framework. ISO/IEC JTC 1/SC 27. Geneva, Switzerland: ISO, published December 2011, reviewed and confirmed in 2017. </w:t>
      </w:r>
      <w:hyperlink r:id="rId10" w:history="1">
        <w:r w:rsidRPr="007A0BB5">
          <w:rPr>
            <w:rStyle w:val="FootnoteTextChar"/>
            <w:szCs w:val="18"/>
          </w:rPr>
          <w:t>https://www.iso.org/standard/45123.html</w:t>
        </w:r>
      </w:hyperlink>
      <w:r w:rsidRPr="007A0BB5">
        <w:rPr>
          <w:rStyle w:val="FootnoteTextChar"/>
          <w:szCs w:val="18"/>
        </w:rPr>
        <w:t>.</w:t>
      </w:r>
      <w:r w:rsidRPr="007A0BB5">
        <w:rPr>
          <w:sz w:val="18"/>
          <w:szCs w:val="18"/>
        </w:rPr>
        <w:t xml:space="preserve"> </w:t>
      </w:r>
    </w:p>
  </w:footnote>
  <w:footnote w:id="14">
    <w:p w14:paraId="0BEB6644" w14:textId="1ADFEDE2" w:rsidR="00E02CDD" w:rsidRPr="007A0BB5" w:rsidRDefault="00E02CDD" w:rsidP="00E02CDD">
      <w:pPr>
        <w:rPr>
          <w:sz w:val="18"/>
          <w:szCs w:val="18"/>
        </w:rPr>
      </w:pPr>
      <w:r w:rsidRPr="007A0BB5">
        <w:rPr>
          <w:rStyle w:val="FootnoteReference"/>
        </w:rPr>
        <w:footnoteRef/>
      </w:r>
      <w:r w:rsidRPr="007A0BB5">
        <w:rPr>
          <w:sz w:val="18"/>
          <w:szCs w:val="18"/>
        </w:rPr>
        <w:t xml:space="preserve"> </w:t>
      </w:r>
      <w:r w:rsidRPr="007A0BB5">
        <w:rPr>
          <w:rStyle w:val="FootnoteTextChar"/>
          <w:szCs w:val="18"/>
        </w:rPr>
        <w:t xml:space="preserve">ISO/IEC 27018:2019 Information technology — Security techniques — Code of practice for protection of personally identifiable information (PII) in public clouds acting as PII processor. ISO/IEC JTC 1/SC 27. Geneva, Switzerland: ISO, published January 2019. </w:t>
      </w:r>
      <w:hyperlink r:id="rId11" w:history="1">
        <w:r w:rsidRPr="007A0BB5">
          <w:rPr>
            <w:rStyle w:val="FootnoteTextChar"/>
            <w:szCs w:val="18"/>
          </w:rPr>
          <w:t>https://www.iso.org/standard/76559.html</w:t>
        </w:r>
      </w:hyperlink>
      <w:r w:rsidRPr="007A0BB5">
        <w:rPr>
          <w:rStyle w:val="FootnoteTextChar"/>
          <w:szCs w:val="18"/>
        </w:rPr>
        <w:t xml:space="preserve"> and ISO/IEC 27701:2019 Security techniques — Extension to ISO/IEC 27001 and ISO/IEC 27002 for privacy information management — Requirements and guidelines. ISO/IEC JTC 1/SC 27. Geneva, Switzerland: ISO, published August 2019. </w:t>
      </w:r>
      <w:hyperlink r:id="rId12" w:history="1">
        <w:r w:rsidRPr="007A0BB5">
          <w:rPr>
            <w:rStyle w:val="FootnoteTextChar"/>
            <w:szCs w:val="18"/>
          </w:rPr>
          <w:t>https://www.iso.org/standard/71670.html</w:t>
        </w:r>
      </w:hyperlink>
      <w:r w:rsidRPr="007A0BB5">
        <w:rPr>
          <w:rStyle w:val="FootnoteTextChar"/>
          <w:szCs w:val="18"/>
        </w:rPr>
        <w:t>.</w:t>
      </w:r>
      <w:r w:rsidRPr="007A0BB5">
        <w:rPr>
          <w:sz w:val="18"/>
          <w:szCs w:val="18"/>
        </w:rPr>
        <w:t xml:space="preserve"> </w:t>
      </w:r>
    </w:p>
  </w:footnote>
  <w:footnote w:id="15">
    <w:p w14:paraId="6F21BB45" w14:textId="6BD4E5EE" w:rsidR="00CE5FED" w:rsidRPr="007A0BB5" w:rsidRDefault="00CE5FED" w:rsidP="00CE5FED">
      <w:pPr>
        <w:rPr>
          <w:sz w:val="18"/>
          <w:szCs w:val="18"/>
        </w:rPr>
      </w:pPr>
      <w:r w:rsidRPr="007A0BB5">
        <w:rPr>
          <w:rStyle w:val="FootnoteReference"/>
        </w:rPr>
        <w:footnoteRef/>
      </w:r>
      <w:r w:rsidRPr="007A0BB5">
        <w:rPr>
          <w:sz w:val="18"/>
          <w:szCs w:val="18"/>
        </w:rPr>
        <w:t xml:space="preserve"> </w:t>
      </w:r>
      <w:r w:rsidRPr="007A0BB5">
        <w:rPr>
          <w:rStyle w:val="FootnoteTextChar"/>
          <w:szCs w:val="18"/>
        </w:rPr>
        <w:t xml:space="preserve">“GitHub - Microsoft/Data-Protection-Mapping-Project: Open Source Data Protection/Privacy Regulatory Mapping Project.” GitHub, last updated on July 26, 2022. Accessed April 1, 2023. </w:t>
      </w:r>
      <w:hyperlink r:id="rId13" w:history="1">
        <w:r w:rsidRPr="007A0BB5">
          <w:rPr>
            <w:rStyle w:val="FootnoteTextChar"/>
            <w:szCs w:val="18"/>
          </w:rPr>
          <w:t>https://github.com/microsoft/data-protection-mapping-project</w:t>
        </w:r>
      </w:hyperlink>
      <w:r w:rsidRPr="007A0BB5">
        <w:rPr>
          <w:rStyle w:val="FootnoteTextChar"/>
          <w:szCs w:val="18"/>
        </w:rPr>
        <w:t>.</w:t>
      </w:r>
    </w:p>
  </w:footnote>
  <w:footnote w:id="16">
    <w:p w14:paraId="68E4D65F" w14:textId="2EA1FEDC" w:rsidR="00F8118D" w:rsidRPr="00F8118D" w:rsidRDefault="00F8118D" w:rsidP="00F8118D">
      <w:pPr>
        <w:pStyle w:val="FootnoteText"/>
        <w:rPr>
          <w:szCs w:val="18"/>
        </w:rPr>
      </w:pPr>
      <w:r w:rsidRPr="00F8118D">
        <w:rPr>
          <w:rStyle w:val="FootnoteReference"/>
        </w:rPr>
        <w:footnoteRef/>
      </w:r>
      <w:r w:rsidRPr="00F8118D">
        <w:t xml:space="preserve"> </w:t>
      </w:r>
      <w:r w:rsidRPr="00F8118D">
        <w:rPr>
          <w:szCs w:val="18"/>
        </w:rPr>
        <w:t>ISO/IEC 29134:2017</w:t>
      </w:r>
      <w:r>
        <w:rPr>
          <w:szCs w:val="18"/>
        </w:rPr>
        <w:t xml:space="preserve"> </w:t>
      </w:r>
      <w:r w:rsidRPr="00F8118D">
        <w:rPr>
          <w:szCs w:val="18"/>
        </w:rPr>
        <w:t>Information technology — Security techniques — Guidelines for privacy impact assessment</w:t>
      </w:r>
      <w:r w:rsidRPr="00F8118D">
        <w:rPr>
          <w:rStyle w:val="FootnoteTextChar"/>
          <w:szCs w:val="18"/>
        </w:rPr>
        <w:t xml:space="preserve">. ISO/IEC JTC 1/SC 27. Geneva, Switzerland: ISO, published </w:t>
      </w:r>
      <w:r>
        <w:rPr>
          <w:rStyle w:val="FootnoteTextChar"/>
          <w:szCs w:val="18"/>
        </w:rPr>
        <w:t>June 2017</w:t>
      </w:r>
      <w:r w:rsidRPr="00F8118D">
        <w:rPr>
          <w:rStyle w:val="FootnoteTextChar"/>
          <w:szCs w:val="18"/>
        </w:rPr>
        <w:t xml:space="preserve">. </w:t>
      </w:r>
      <w:r w:rsidRPr="00F8118D">
        <w:t>https://www.iso.org/standard/62289.html</w:t>
      </w:r>
      <w:r w:rsidRPr="00F8118D">
        <w:rPr>
          <w:rStyle w:val="FootnoteTextChar"/>
          <w:szCs w:val="18"/>
        </w:rPr>
        <w:t xml:space="preserve"> and </w:t>
      </w:r>
      <w:r w:rsidRPr="00F8118D">
        <w:rPr>
          <w:szCs w:val="18"/>
        </w:rPr>
        <w:t>ISO/IEC 29184:2020</w:t>
      </w:r>
    </w:p>
    <w:p w14:paraId="56C2AE2A" w14:textId="03A055B9" w:rsidR="00F8118D" w:rsidRPr="00F8118D" w:rsidRDefault="00F8118D" w:rsidP="00F8118D">
      <w:pPr>
        <w:pStyle w:val="FootnoteText"/>
        <w:rPr>
          <w:b/>
          <w:bCs/>
          <w:szCs w:val="18"/>
        </w:rPr>
      </w:pPr>
      <w:r w:rsidRPr="00F8118D">
        <w:rPr>
          <w:szCs w:val="18"/>
        </w:rPr>
        <w:t>Information technology — Online privacy notices and consent</w:t>
      </w:r>
      <w:r w:rsidRPr="00F8118D">
        <w:rPr>
          <w:rStyle w:val="FootnoteTextChar"/>
          <w:szCs w:val="18"/>
        </w:rPr>
        <w:t xml:space="preserve">. ISO/IEC JTC 1/SC 27. Geneva, Switzerland: ISO, published </w:t>
      </w:r>
      <w:r>
        <w:rPr>
          <w:rStyle w:val="FootnoteTextChar"/>
          <w:szCs w:val="18"/>
        </w:rPr>
        <w:t>June 2020</w:t>
      </w:r>
      <w:r w:rsidRPr="00F8118D">
        <w:rPr>
          <w:rStyle w:val="FootnoteTextChar"/>
          <w:szCs w:val="18"/>
        </w:rPr>
        <w:t>, https://www.iso.org/standard/70331.html</w:t>
      </w:r>
      <w:r>
        <w:rPr>
          <w:rStyle w:val="FootnoteTextChar"/>
          <w:szCs w:val="18"/>
        </w:rPr>
        <w:t>.</w:t>
      </w:r>
    </w:p>
  </w:footnote>
  <w:footnote w:id="17">
    <w:p w14:paraId="288A0C50" w14:textId="0CC26F43" w:rsidR="0034704D" w:rsidRPr="00F41507" w:rsidRDefault="0034704D" w:rsidP="00F41507">
      <w:pPr>
        <w:rPr>
          <w:sz w:val="20"/>
          <w:szCs w:val="20"/>
        </w:rPr>
      </w:pPr>
      <w:r w:rsidRPr="007A0BB5">
        <w:rPr>
          <w:sz w:val="18"/>
          <w:szCs w:val="18"/>
          <w:vertAlign w:val="superscript"/>
        </w:rPr>
        <w:footnoteRef/>
      </w:r>
      <w:r w:rsidRPr="007A0BB5">
        <w:rPr>
          <w:sz w:val="18"/>
          <w:szCs w:val="18"/>
        </w:rPr>
        <w:t xml:space="preserve"> </w:t>
      </w:r>
      <w:r w:rsidR="00F41507" w:rsidRPr="007A0BB5">
        <w:rPr>
          <w:rStyle w:val="FootnoteTextChar"/>
          <w:szCs w:val="18"/>
        </w:rPr>
        <w:t xml:space="preserve">European Commission. “Adequacy Decisions: How the EU Determines If a Non-EU Country Has an Adequate Level of Data Protection.” Accessed April 1, 2023. </w:t>
      </w:r>
      <w:hyperlink r:id="rId14" w:history="1">
        <w:r w:rsidR="00F41507" w:rsidRPr="007A0BB5">
          <w:rPr>
            <w:rStyle w:val="FootnoteTextChar"/>
            <w:szCs w:val="18"/>
          </w:rPr>
          <w:t>https://commission.europa.eu/law/law-topic/data-protection/international-dimension-data-protection/adequacy-decisions_en</w:t>
        </w:r>
      </w:hyperlink>
      <w:r w:rsidR="00F41507" w:rsidRPr="007A0BB5">
        <w:rPr>
          <w:rStyle w:val="FootnoteTextChar"/>
          <w:szCs w:val="18"/>
        </w:rPr>
        <w:t>.</w:t>
      </w:r>
    </w:p>
  </w:footnote>
  <w:footnote w:id="18">
    <w:p w14:paraId="1EB6E307" w14:textId="699DD8F6" w:rsidR="000A6003" w:rsidRPr="007A0BB5" w:rsidRDefault="009D0F65" w:rsidP="00F41507">
      <w:pPr>
        <w:rPr>
          <w:sz w:val="18"/>
          <w:szCs w:val="18"/>
        </w:rPr>
      </w:pPr>
      <w:r w:rsidRPr="007A0BB5">
        <w:rPr>
          <w:sz w:val="18"/>
          <w:szCs w:val="18"/>
          <w:vertAlign w:val="superscript"/>
        </w:rPr>
        <w:footnoteRef/>
      </w:r>
      <w:r w:rsidRPr="007A0BB5">
        <w:rPr>
          <w:sz w:val="18"/>
          <w:szCs w:val="18"/>
        </w:rPr>
        <w:t xml:space="preserve"> </w:t>
      </w:r>
      <w:r w:rsidR="00F41507" w:rsidRPr="007A0BB5">
        <w:rPr>
          <w:rStyle w:val="FootnoteTextChar"/>
          <w:szCs w:val="18"/>
        </w:rPr>
        <w:t xml:space="preserve">Peukert, Christian, Stefan Bechtold, Michail Batikas, and Tobias Kretschmer. “Regulatory Spillovers and Data Governance: Evidence from the GDPR.” Marketing Science 41, no. 4 (July 1, 2022): 318–40. </w:t>
      </w:r>
      <w:hyperlink r:id="rId15" w:history="1">
        <w:r w:rsidR="00F41507" w:rsidRPr="007A0BB5">
          <w:rPr>
            <w:rStyle w:val="FootnoteTextChar"/>
            <w:szCs w:val="18"/>
          </w:rPr>
          <w:t>https://doi.org/10.1287/mksc.2021.1339</w:t>
        </w:r>
      </w:hyperlink>
      <w:r w:rsidR="00F41507" w:rsidRPr="007A0BB5">
        <w:rPr>
          <w:rStyle w:val="FootnoteTextChar"/>
          <w:szCs w:val="18"/>
        </w:rPr>
        <w:t>.</w:t>
      </w:r>
    </w:p>
  </w:footnote>
  <w:footnote w:id="19">
    <w:p w14:paraId="7D7E8129" w14:textId="7CB9FDCC" w:rsidR="000A6003" w:rsidRPr="00F41507" w:rsidRDefault="009D0F65" w:rsidP="00F41507">
      <w:r w:rsidRPr="007A0BB5">
        <w:rPr>
          <w:sz w:val="18"/>
          <w:szCs w:val="18"/>
          <w:vertAlign w:val="superscript"/>
        </w:rPr>
        <w:footnoteRef/>
      </w:r>
      <w:r w:rsidRPr="007A0BB5">
        <w:rPr>
          <w:sz w:val="18"/>
          <w:szCs w:val="18"/>
        </w:rPr>
        <w:t xml:space="preserve"> </w:t>
      </w:r>
      <w:r w:rsidRPr="007A0BB5">
        <w:rPr>
          <w:rStyle w:val="FootnoteTextChar"/>
          <w:szCs w:val="18"/>
        </w:rPr>
        <w:t xml:space="preserve">See for example </w:t>
      </w:r>
      <w:r w:rsidR="00F41507" w:rsidRPr="007A0BB5">
        <w:rPr>
          <w:rStyle w:val="FootnoteTextChar"/>
          <w:szCs w:val="18"/>
        </w:rPr>
        <w:t xml:space="preserve">Clarke, Niamh, Gillian L. Vale, Emer P. Reeves, Mary Kirwan, David Smith, Michael Farrell, G. A. Hurl, and Noel G. McElvaney. “GDPR: An Impediment to Research?” Irish Journal of Medical Science 188, no. 4 (February 8, 2019): 1129–35. </w:t>
      </w:r>
      <w:hyperlink r:id="rId16" w:history="1">
        <w:r w:rsidR="00F41507" w:rsidRPr="007A0BB5">
          <w:rPr>
            <w:rStyle w:val="FootnoteTextChar"/>
            <w:szCs w:val="18"/>
          </w:rPr>
          <w:t>https://doi.org/10.1007/s11845-019-01980-2</w:t>
        </w:r>
      </w:hyperlink>
      <w:r w:rsidR="00F41507" w:rsidRPr="007A0BB5">
        <w:rPr>
          <w:rStyle w:val="FootnoteTextChar"/>
          <w:szCs w:val="18"/>
        </w:rPr>
        <w:t xml:space="preserve"> and Geradin, Damien, Theano Karanikioti, and Dimitrios Katsifis. “GDPR Myopia: How a Well-Intended Regulation Ended up Favouring Large Online Platforms - the Case of Ad Tech.” European Competition Journal 17, no. 1 (January 2, 2021): 47–92. </w:t>
      </w:r>
      <w:hyperlink r:id="rId17" w:history="1">
        <w:r w:rsidR="00F41507" w:rsidRPr="007A0BB5">
          <w:rPr>
            <w:rStyle w:val="FootnoteTextChar"/>
            <w:szCs w:val="18"/>
          </w:rPr>
          <w:t>https://doi.org/10.1080/17441056.2020.1848059</w:t>
        </w:r>
      </w:hyperlink>
      <w:r w:rsidR="00F41507" w:rsidRPr="007A0BB5">
        <w:rPr>
          <w:rStyle w:val="FootnoteTextChar"/>
          <w:szCs w:val="18"/>
        </w:rPr>
        <w:t>.</w:t>
      </w:r>
    </w:p>
  </w:footnote>
  <w:footnote w:id="20">
    <w:p w14:paraId="792E022B" w14:textId="2866EBA6" w:rsidR="000A6003" w:rsidRPr="007A0BB5" w:rsidRDefault="009D0F65">
      <w:pPr>
        <w:rPr>
          <w:sz w:val="18"/>
          <w:szCs w:val="18"/>
        </w:rPr>
      </w:pPr>
      <w:r w:rsidRPr="007A0BB5">
        <w:rPr>
          <w:sz w:val="18"/>
          <w:szCs w:val="18"/>
          <w:vertAlign w:val="superscript"/>
        </w:rPr>
        <w:footnoteRef/>
      </w:r>
      <w:r w:rsidRPr="007A0BB5">
        <w:rPr>
          <w:sz w:val="18"/>
          <w:szCs w:val="18"/>
        </w:rPr>
        <w:t xml:space="preserve"> </w:t>
      </w:r>
      <w:r w:rsidR="003F10C2" w:rsidRPr="007A0BB5">
        <w:rPr>
          <w:rStyle w:val="FootnoteTextChar"/>
          <w:szCs w:val="18"/>
        </w:rPr>
        <w:t xml:space="preserve">“Directive (EU) 2022/2555 of the European Parliament and of the Council of 14 December 2022 on Measures for a High Common Level of Cybersecurity across the Union, Amending Regulation (EU) No 910/2014 and Directive (EU) 2018/1972, and Repealing Directive (EU) 2016/1148 (NIS 2 Directive).” European Union, December 14, 2020. </w:t>
      </w:r>
      <w:hyperlink r:id="rId18" w:history="1">
        <w:r w:rsidR="003F10C2" w:rsidRPr="007A0BB5">
          <w:rPr>
            <w:rStyle w:val="FootnoteTextChar"/>
            <w:szCs w:val="18"/>
          </w:rPr>
          <w:t>http://data.europa.eu/eli/dir/2022/2555/oj</w:t>
        </w:r>
      </w:hyperlink>
      <w:r w:rsidR="003F10C2" w:rsidRPr="007A0BB5">
        <w:rPr>
          <w:rStyle w:val="FootnoteTextChar"/>
          <w:szCs w:val="18"/>
        </w:rPr>
        <w:t>.</w:t>
      </w:r>
    </w:p>
  </w:footnote>
  <w:footnote w:id="21">
    <w:p w14:paraId="75162A9F" w14:textId="069CE2FA" w:rsidR="000A6003" w:rsidRPr="003F10C2" w:rsidRDefault="009D0F65">
      <w:pPr>
        <w:rPr>
          <w:sz w:val="20"/>
          <w:szCs w:val="20"/>
        </w:rPr>
      </w:pPr>
      <w:r w:rsidRPr="007A0BB5">
        <w:rPr>
          <w:sz w:val="18"/>
          <w:szCs w:val="18"/>
          <w:vertAlign w:val="superscript"/>
        </w:rPr>
        <w:footnoteRef/>
      </w:r>
      <w:r w:rsidRPr="007A0BB5">
        <w:rPr>
          <w:sz w:val="18"/>
          <w:szCs w:val="18"/>
        </w:rPr>
        <w:t xml:space="preserve"> </w:t>
      </w:r>
      <w:r w:rsidR="003F10C2" w:rsidRPr="007A0BB5">
        <w:rPr>
          <w:rStyle w:val="FootnoteTextChar"/>
          <w:szCs w:val="18"/>
        </w:rPr>
        <w:t xml:space="preserve">Vladimirova-Kryukova, Anna. “The Influence of the NIS2 Directive In and Outside of the EU.” ISACA NOW BLOG, November 10, 2021. </w:t>
      </w:r>
      <w:hyperlink r:id="rId19" w:history="1">
        <w:r w:rsidR="003F10C2" w:rsidRPr="007A0BB5">
          <w:rPr>
            <w:rStyle w:val="FootnoteTextChar"/>
            <w:szCs w:val="18"/>
          </w:rPr>
          <w:t>https://www.isaca.org/resources/news-and-trends/isaca-now-blog/2021/the-influence-of-the-nis2-directive-in-and-outside-of-the-eu</w:t>
        </w:r>
      </w:hyperlink>
      <w:r w:rsidR="003F10C2" w:rsidRPr="007A0BB5">
        <w:rPr>
          <w:rStyle w:val="FootnoteTextChar"/>
          <w:szCs w:val="18"/>
        </w:rPr>
        <w:t>.</w:t>
      </w:r>
    </w:p>
  </w:footnote>
  <w:footnote w:id="22">
    <w:p w14:paraId="33C54D18" w14:textId="77777777" w:rsidR="00E14457" w:rsidRPr="003E73F7" w:rsidRDefault="00E14457" w:rsidP="00E14457">
      <w:pPr>
        <w:pStyle w:val="FootnoteText"/>
      </w:pPr>
      <w:r>
        <w:rPr>
          <w:rStyle w:val="FootnoteReference"/>
        </w:rPr>
        <w:footnoteRef/>
      </w:r>
      <w:r>
        <w:t xml:space="preserve"> European Commission</w:t>
      </w:r>
      <w:r w:rsidRPr="003E73F7">
        <w:rPr>
          <w:rFonts w:ascii="Frutiger 45 Light" w:hAnsi="Frutiger 45 Light" w:cs="Wingdings"/>
          <w:sz w:val="20"/>
        </w:rPr>
        <w:t>. “Regulation (EU) 2018/1724 of the European Parliament and of the Council of 2 October 2018 Establishing a Single Digital Gateway to Provide Access to Information, to Procedures and to Assistance and Problem-Solving Services and Amending Regulation (EU) No 1024/2012 (Text with EEA Relevance.).” European Commission, November 21, 2018. https://eur-lex.europa.eu/legal-content/EN/TXT/?uri=uriserv:OJ.L_.2018.295.01.0001.01.ENG.</w:t>
      </w:r>
    </w:p>
  </w:footnote>
  <w:footnote w:id="23">
    <w:p w14:paraId="332B6138" w14:textId="77777777" w:rsidR="00E14457" w:rsidRPr="003E73F7" w:rsidRDefault="00E14457" w:rsidP="00E14457">
      <w:pPr>
        <w:pStyle w:val="FootnoteText"/>
        <w:rPr>
          <w:rFonts w:ascii="Frutiger 45 Light" w:hAnsi="Frutiger 45 Light" w:cs="Wingdings"/>
          <w:sz w:val="20"/>
        </w:rPr>
      </w:pPr>
      <w:r>
        <w:rPr>
          <w:rStyle w:val="FootnoteReference"/>
        </w:rPr>
        <w:footnoteRef/>
      </w:r>
      <w:r>
        <w:t xml:space="preserve"> European Commission</w:t>
      </w:r>
      <w:r w:rsidRPr="003E73F7">
        <w:rPr>
          <w:rFonts w:ascii="Frutiger 45 Light" w:hAnsi="Frutiger 45 Light" w:cs="Wingdings"/>
          <w:sz w:val="20"/>
        </w:rPr>
        <w:t>. “Commission Implementing Regulation (EU) 2022/1463 of 5 August 2022 Setting out Technical and Operational Specifications of the Technical System for the Cross-Border Automated Exchange of Evidence and Application of the ‘Once-Only’ Principle in Accordance with Regulation (EU) 2018/1724 of the European Parliament and of the Council (Text with EEA Relevance),” August 5, 2022. https://eur-lex.europa.eu/eli/reg_impl/2022/1463/oj.</w:t>
      </w:r>
    </w:p>
    <w:p w14:paraId="223D7078" w14:textId="77777777" w:rsidR="00E14457" w:rsidRPr="003E73F7" w:rsidRDefault="00E14457" w:rsidP="00E14457">
      <w:pPr>
        <w:pStyle w:val="FootnoteText"/>
      </w:pPr>
    </w:p>
  </w:footnote>
  <w:footnote w:id="24">
    <w:p w14:paraId="594ADE4D" w14:textId="77777777" w:rsidR="000A6003" w:rsidRPr="007A0BB5" w:rsidRDefault="009D0F65">
      <w:pPr>
        <w:rPr>
          <w:sz w:val="18"/>
          <w:szCs w:val="18"/>
        </w:rPr>
      </w:pPr>
      <w:r w:rsidRPr="007A0BB5">
        <w:rPr>
          <w:sz w:val="18"/>
          <w:szCs w:val="18"/>
          <w:vertAlign w:val="superscript"/>
        </w:rPr>
        <w:footnoteRef/>
      </w:r>
      <w:r w:rsidRPr="007A0BB5">
        <w:rPr>
          <w:sz w:val="18"/>
          <w:szCs w:val="18"/>
        </w:rPr>
        <w:t xml:space="preserve"> </w:t>
      </w:r>
      <w:r w:rsidRPr="007A0BB5">
        <w:rPr>
          <w:rStyle w:val="FootnoteTextChar"/>
          <w:szCs w:val="18"/>
        </w:rPr>
        <w:t>Government of India, “myAadhaar,” Unique Identification Authority of India, website, https://uidai.gov.in/en/.</w:t>
      </w:r>
    </w:p>
  </w:footnote>
  <w:footnote w:id="25">
    <w:p w14:paraId="283F27DC" w14:textId="77777777" w:rsidR="000A6003" w:rsidRPr="007A0BB5" w:rsidRDefault="009D0F65">
      <w:pPr>
        <w:rPr>
          <w:sz w:val="18"/>
          <w:szCs w:val="18"/>
        </w:rPr>
      </w:pPr>
      <w:r w:rsidRPr="007A0BB5">
        <w:rPr>
          <w:sz w:val="18"/>
          <w:szCs w:val="18"/>
          <w:vertAlign w:val="superscript"/>
        </w:rPr>
        <w:footnoteRef/>
      </w:r>
      <w:r w:rsidRPr="007A0BB5">
        <w:rPr>
          <w:sz w:val="18"/>
          <w:szCs w:val="18"/>
        </w:rPr>
        <w:t xml:space="preserve"> Singpass, https://www.singpass.gov.sg/main/</w:t>
      </w:r>
    </w:p>
  </w:footnote>
  <w:footnote w:id="26">
    <w:p w14:paraId="7297BB7A" w14:textId="0810FCF4" w:rsidR="002B2ECA" w:rsidRPr="007A0BB5" w:rsidRDefault="002B2ECA" w:rsidP="002B2ECA">
      <w:pPr>
        <w:rPr>
          <w:sz w:val="18"/>
          <w:szCs w:val="18"/>
        </w:rPr>
      </w:pPr>
      <w:r w:rsidRPr="007A0BB5">
        <w:rPr>
          <w:rStyle w:val="FootnoteReference"/>
        </w:rPr>
        <w:footnoteRef/>
      </w:r>
      <w:r w:rsidRPr="007A0BB5">
        <w:rPr>
          <w:sz w:val="18"/>
          <w:szCs w:val="18"/>
        </w:rPr>
        <w:t xml:space="preserve"> </w:t>
      </w:r>
      <w:r w:rsidRPr="007A0BB5">
        <w:rPr>
          <w:rStyle w:val="FootnoteTextChar"/>
          <w:szCs w:val="18"/>
        </w:rPr>
        <w:t xml:space="preserve">More information on digital identity reference deployments can be found in the Secure Identity Alliance whitepaper Giving Voice to Digital Identities Worldwide. Secure Identity Alliance. “Giving Voice to Digital Identities Worldwide - Key Insights and Experiences to Overcome Shared Challenges,” March 16, 2022. </w:t>
      </w:r>
      <w:hyperlink r:id="rId20" w:history="1">
        <w:r w:rsidRPr="007A0BB5">
          <w:rPr>
            <w:rStyle w:val="FootnoteTextChar"/>
            <w:szCs w:val="18"/>
          </w:rPr>
          <w:t>https://secureidentityalliance.org/utilities/news-en/entry/giving-voice-to-digital-identities-worldwide-1-1</w:t>
        </w:r>
      </w:hyperlink>
      <w:r w:rsidRPr="007A0BB5">
        <w:rPr>
          <w:rStyle w:val="FootnoteTextChar"/>
          <w:szCs w:val="18"/>
        </w:rPr>
        <w:t>.</w:t>
      </w:r>
    </w:p>
  </w:footnote>
  <w:footnote w:id="27">
    <w:p w14:paraId="2C2A407C" w14:textId="77777777" w:rsidR="00BC5C1D" w:rsidRPr="003E61A7" w:rsidRDefault="00BC5C1D" w:rsidP="00BC5C1D">
      <w:pPr>
        <w:pStyle w:val="FootnoteText"/>
      </w:pPr>
      <w:r>
        <w:rPr>
          <w:rStyle w:val="FootnoteReference"/>
        </w:rPr>
        <w:footnoteRef/>
      </w:r>
      <w:r>
        <w:t xml:space="preserve"> Eur</w:t>
      </w:r>
      <w:r w:rsidRPr="007A0BB5">
        <w:rPr>
          <w:rStyle w:val="FootnoteTextChar"/>
        </w:rPr>
        <w:t xml:space="preserve">opean Commission. “The European Digital Identity Wallet Architecture and Reference Framework.” Shaping Europe’s Digital Future, February 10, 2023. </w:t>
      </w:r>
      <w:hyperlink r:id="rId21" w:history="1">
        <w:r w:rsidRPr="007A0BB5">
          <w:rPr>
            <w:rStyle w:val="FootnoteTextChar"/>
          </w:rPr>
          <w:t>https://digital-strategy.ec.europa.eu/en/library/european-digital-identity-wallet-architecture-and-reference-framework</w:t>
        </w:r>
      </w:hyperlink>
      <w:r>
        <w:rPr>
          <w:rStyle w:val="FootnoteTextChar"/>
        </w:rPr>
        <w:t xml:space="preserve"> and </w:t>
      </w:r>
      <w:r w:rsidRPr="007A0BB5">
        <w:rPr>
          <w:rStyle w:val="FootnoteTextChar"/>
        </w:rPr>
        <w:t xml:space="preserve">European Commission. “Funding &amp; Tenders: Single Electronic Data Interchange Area (SEDIA),” December 16, 2022. </w:t>
      </w:r>
      <w:hyperlink r:id="rId22" w:history="1">
        <w:r w:rsidRPr="007A0BB5">
          <w:rPr>
            <w:rStyle w:val="FootnoteTextChar"/>
          </w:rPr>
          <w:t>https://ec.europa.eu/info/funding-tenders/opportunities/portal/screen/opportunities/topic-details/digital-2022-deploy-02-electronic-id</w:t>
        </w:r>
      </w:hyperlink>
      <w:r w:rsidRPr="007A0BB5">
        <w:rPr>
          <w:rStyle w:val="FootnoteTextChar"/>
        </w:rPr>
        <w:t>.</w:t>
      </w:r>
    </w:p>
  </w:footnote>
  <w:footnote w:id="28">
    <w:p w14:paraId="6BF8A1B2" w14:textId="77777777" w:rsidR="00BC5C1D" w:rsidRPr="007A0BB5" w:rsidRDefault="00BC5C1D" w:rsidP="00BC5C1D">
      <w:pPr>
        <w:rPr>
          <w:sz w:val="18"/>
          <w:szCs w:val="18"/>
        </w:rPr>
      </w:pPr>
      <w:r w:rsidRPr="007A0BB5">
        <w:rPr>
          <w:sz w:val="18"/>
          <w:szCs w:val="18"/>
          <w:vertAlign w:val="superscript"/>
        </w:rPr>
        <w:footnoteRef/>
      </w:r>
      <w:r w:rsidRPr="007A0BB5">
        <w:rPr>
          <w:sz w:val="18"/>
          <w:szCs w:val="18"/>
        </w:rPr>
        <w:t xml:space="preserve"> </w:t>
      </w:r>
      <w:r w:rsidRPr="007A0BB5">
        <w:rPr>
          <w:rStyle w:val="FootnoteTextChar"/>
        </w:rPr>
        <w:t xml:space="preserve">European Commission. “Commission Proposes a Trusted and Secure Digital Identity for All Europeans.” Press Corner, June 3, 2021. </w:t>
      </w:r>
      <w:hyperlink r:id="rId23" w:history="1">
        <w:r w:rsidRPr="007A0BB5">
          <w:rPr>
            <w:rStyle w:val="FootnoteTextChar"/>
          </w:rPr>
          <w:t>https://ec.europa.eu/commission/presscorner/detail/en/ip_21_2663</w:t>
        </w:r>
      </w:hyperlink>
      <w:r w:rsidRPr="007A0BB5">
        <w:rPr>
          <w:rStyle w:val="FootnoteTextChar"/>
        </w:rPr>
        <w:t>.</w:t>
      </w:r>
    </w:p>
  </w:footnote>
  <w:footnote w:id="29">
    <w:p w14:paraId="3C6022E6" w14:textId="77777777" w:rsidR="00BC5C1D" w:rsidRPr="007A0BB5" w:rsidRDefault="00BC5C1D" w:rsidP="00BC5C1D">
      <w:pPr>
        <w:rPr>
          <w:sz w:val="18"/>
          <w:szCs w:val="18"/>
        </w:rPr>
      </w:pPr>
      <w:r w:rsidRPr="007A0BB5">
        <w:rPr>
          <w:sz w:val="18"/>
          <w:szCs w:val="18"/>
          <w:vertAlign w:val="superscript"/>
        </w:rPr>
        <w:footnoteRef/>
      </w:r>
      <w:r w:rsidRPr="007A0BB5">
        <w:rPr>
          <w:sz w:val="18"/>
          <w:szCs w:val="18"/>
        </w:rPr>
        <w:t xml:space="preserve"> </w:t>
      </w:r>
      <w:r w:rsidRPr="007A0BB5">
        <w:rPr>
          <w:rStyle w:val="FootnoteTextChar"/>
        </w:rPr>
        <w:t xml:space="preserve">Hoepman, Jaap-Henk. “Analysing the Architecture of the European Digital Identity Framework.,” February 14, 2023. </w:t>
      </w:r>
      <w:hyperlink r:id="rId24" w:history="1">
        <w:r w:rsidRPr="007A0BB5">
          <w:rPr>
            <w:rStyle w:val="FootnoteTextChar"/>
          </w:rPr>
          <w:t>https://blog.xot.nl/2023/02/14/analysing-the-architecture-of-the-european-digital-identity-framework/index.html</w:t>
        </w:r>
      </w:hyperlink>
      <w:r w:rsidRPr="007A0BB5">
        <w:rPr>
          <w:rStyle w:val="FootnoteTextChar"/>
        </w:rPr>
        <w:t>.</w:t>
      </w:r>
    </w:p>
  </w:footnote>
  <w:footnote w:id="30">
    <w:p w14:paraId="4F27A77F" w14:textId="77777777" w:rsidR="00BC5C1D" w:rsidRPr="007A0BB5" w:rsidRDefault="00BC5C1D" w:rsidP="00BC5C1D">
      <w:pPr>
        <w:rPr>
          <w:rStyle w:val="FootnoteTextChar"/>
        </w:rPr>
      </w:pPr>
      <w:r w:rsidRPr="007A0BB5">
        <w:rPr>
          <w:sz w:val="18"/>
          <w:szCs w:val="18"/>
          <w:vertAlign w:val="superscript"/>
        </w:rPr>
        <w:footnoteRef/>
      </w:r>
      <w:r w:rsidRPr="007A0BB5">
        <w:rPr>
          <w:sz w:val="18"/>
          <w:szCs w:val="18"/>
        </w:rPr>
        <w:t xml:space="preserve"> </w:t>
      </w:r>
      <w:r w:rsidRPr="007A0BB5">
        <w:rPr>
          <w:rStyle w:val="FootnoteTextChar"/>
        </w:rPr>
        <w:t xml:space="preserve">epicenter.works. “EIDAS 2.0 – Unprecedented Risk for Privacy,” December 1, 2022. </w:t>
      </w:r>
      <w:hyperlink r:id="rId25" w:history="1">
        <w:r w:rsidRPr="007A0BB5">
          <w:rPr>
            <w:rStyle w:val="FootnoteTextChar"/>
          </w:rPr>
          <w:t>https://en.epicenter.works/content/eidas-20-unprecedented-risk-for-privacy</w:t>
        </w:r>
      </w:hyperlink>
      <w:r w:rsidRPr="007A0BB5">
        <w:rPr>
          <w:rStyle w:val="FootnoteTextChar"/>
        </w:rPr>
        <w:t>.</w:t>
      </w:r>
    </w:p>
  </w:footnote>
  <w:footnote w:id="31">
    <w:p w14:paraId="3F519A17" w14:textId="77777777" w:rsidR="00BC5C1D" w:rsidRPr="003E61A7" w:rsidRDefault="00BC5C1D" w:rsidP="00BC5C1D">
      <w:pPr>
        <w:pStyle w:val="FootnoteText"/>
      </w:pPr>
      <w:r>
        <w:rPr>
          <w:rStyle w:val="FootnoteReference"/>
        </w:rPr>
        <w:footnoteRef/>
      </w:r>
      <w:r>
        <w:t xml:space="preserve"> See </w:t>
      </w:r>
      <w:r w:rsidRPr="009466A3">
        <w:rPr>
          <w:lang w:val="en"/>
        </w:rPr>
        <w:t>Article 11.a (2) of eIDAS 2.0 amendment: " In order to identify natural persons upon their request for accessing services as described in paragraph 1, Member States shall provide a minimum set of person identification data referred to in Article 12.4.(d). Member States that have at least one unique identifier shall, at the request of the user, issue unique and persistent identifiers for cross-border use. Those identifiers may be sector or relying party-specific as long as they uniquely identify the user across the Union."</w:t>
      </w:r>
    </w:p>
  </w:footnote>
  <w:footnote w:id="32">
    <w:p w14:paraId="38912DDC" w14:textId="77777777" w:rsidR="00BC5C1D" w:rsidRPr="00F10596" w:rsidRDefault="00BC5C1D" w:rsidP="00BC5C1D">
      <w:pPr>
        <w:rPr>
          <w:sz w:val="20"/>
          <w:szCs w:val="20"/>
        </w:rPr>
      </w:pPr>
      <w:r w:rsidRPr="007A0BB5">
        <w:rPr>
          <w:sz w:val="18"/>
          <w:szCs w:val="18"/>
          <w:vertAlign w:val="superscript"/>
        </w:rPr>
        <w:footnoteRef/>
      </w:r>
      <w:r w:rsidRPr="007A0BB5">
        <w:rPr>
          <w:sz w:val="18"/>
          <w:szCs w:val="18"/>
        </w:rPr>
        <w:t xml:space="preserve"> </w:t>
      </w:r>
      <w:r w:rsidRPr="007A0BB5">
        <w:rPr>
          <w:rStyle w:val="FootnoteTextChar"/>
        </w:rPr>
        <w:t xml:space="preserve">For more information on how implementation acts are developed, see </w:t>
      </w:r>
      <w:hyperlink r:id="rId26">
        <w:r w:rsidRPr="007A0BB5">
          <w:rPr>
            <w:rStyle w:val="FootnoteTextChar"/>
          </w:rPr>
          <w:t>https://www.eumonitor.eu/9353000/1/j9vvik7m1c3gyxp/vha0t8afc0ya</w:t>
        </w:r>
      </w:hyperlink>
      <w:r w:rsidRPr="007A0BB5">
        <w:rPr>
          <w:rStyle w:val="FootnoteTextChar"/>
        </w:rPr>
        <w:t>.</w:t>
      </w:r>
      <w:r w:rsidRPr="00F10596">
        <w:rPr>
          <w:sz w:val="20"/>
          <w:szCs w:val="20"/>
        </w:rPr>
        <w:t xml:space="preserve"> </w:t>
      </w:r>
    </w:p>
  </w:footnote>
  <w:footnote w:id="33">
    <w:p w14:paraId="19E8EE61" w14:textId="54DB144B" w:rsidR="000A6003" w:rsidRPr="007A0BB5" w:rsidRDefault="009D0F65">
      <w:pPr>
        <w:rPr>
          <w:sz w:val="18"/>
          <w:szCs w:val="18"/>
        </w:rPr>
      </w:pPr>
      <w:r w:rsidRPr="007A0BB5">
        <w:rPr>
          <w:sz w:val="18"/>
          <w:szCs w:val="18"/>
          <w:vertAlign w:val="superscript"/>
        </w:rPr>
        <w:footnoteRef/>
      </w:r>
      <w:r w:rsidRPr="007A0BB5">
        <w:rPr>
          <w:sz w:val="18"/>
          <w:szCs w:val="18"/>
        </w:rPr>
        <w:t xml:space="preserve"> </w:t>
      </w:r>
      <w:r w:rsidR="003F10C2" w:rsidRPr="007A0BB5">
        <w:rPr>
          <w:rStyle w:val="FootnoteTextChar"/>
          <w:szCs w:val="18"/>
        </w:rPr>
        <w:t xml:space="preserve">Unique Identification Authority of India | Government of India. “Home - Unique Identification Authority of India | Government of India.” Accessed April 1, 2023. </w:t>
      </w:r>
      <w:hyperlink r:id="rId27" w:history="1">
        <w:r w:rsidR="003F10C2" w:rsidRPr="007A0BB5">
          <w:rPr>
            <w:rStyle w:val="FootnoteTextChar"/>
            <w:szCs w:val="18"/>
          </w:rPr>
          <w:t>https://uidai.gov.in/en/</w:t>
        </w:r>
      </w:hyperlink>
      <w:r w:rsidR="003F10C2" w:rsidRPr="007A0BB5">
        <w:rPr>
          <w:rStyle w:val="FootnoteTextChar"/>
          <w:szCs w:val="18"/>
        </w:rPr>
        <w:t>.</w:t>
      </w:r>
    </w:p>
  </w:footnote>
  <w:footnote w:id="34">
    <w:p w14:paraId="180DAF58" w14:textId="35250423" w:rsidR="000A6003" w:rsidRPr="003F10C2" w:rsidRDefault="009D0F65">
      <w:pPr>
        <w:rPr>
          <w:sz w:val="20"/>
          <w:szCs w:val="20"/>
        </w:rPr>
      </w:pPr>
      <w:r w:rsidRPr="007A0BB5">
        <w:rPr>
          <w:sz w:val="18"/>
          <w:szCs w:val="18"/>
          <w:vertAlign w:val="superscript"/>
        </w:rPr>
        <w:footnoteRef/>
      </w:r>
      <w:r w:rsidRPr="007A0BB5">
        <w:rPr>
          <w:sz w:val="18"/>
          <w:szCs w:val="18"/>
        </w:rPr>
        <w:t xml:space="preserve"> </w:t>
      </w:r>
      <w:r w:rsidR="003F10C2" w:rsidRPr="007A0BB5">
        <w:rPr>
          <w:rStyle w:val="FootnoteTextChar"/>
          <w:szCs w:val="18"/>
        </w:rPr>
        <w:t xml:space="preserve">“Justice K.S. Puttaswamy (Retd.) And Another Versus Union Of India And Others.” The Supreme Court Of India, Civil Original Jurisdiction, September 26, 2018. </w:t>
      </w:r>
      <w:hyperlink r:id="rId28" w:history="1">
        <w:r w:rsidR="003F10C2" w:rsidRPr="007A0BB5">
          <w:rPr>
            <w:rStyle w:val="FootnoteTextChar"/>
            <w:szCs w:val="18"/>
          </w:rPr>
          <w:t>https://uidai.gov.in/images/news/Judgement_26-Sep-2018.pdf</w:t>
        </w:r>
      </w:hyperlink>
      <w:r w:rsidR="003F10C2" w:rsidRPr="007A0BB5">
        <w:rPr>
          <w:rStyle w:val="FootnoteTextChar"/>
          <w:szCs w:val="18"/>
        </w:rPr>
        <w:t>.</w:t>
      </w:r>
    </w:p>
  </w:footnote>
  <w:footnote w:id="35">
    <w:p w14:paraId="02A6A6BB" w14:textId="6CB8BEB0" w:rsidR="00F70DBB" w:rsidRPr="007A0BB5" w:rsidRDefault="00F70DBB" w:rsidP="00F70DBB">
      <w:pPr>
        <w:rPr>
          <w:sz w:val="18"/>
          <w:szCs w:val="18"/>
        </w:rPr>
      </w:pPr>
      <w:r w:rsidRPr="007A0BB5">
        <w:rPr>
          <w:rStyle w:val="FootnoteReference"/>
        </w:rPr>
        <w:footnoteRef/>
      </w:r>
      <w:r w:rsidRPr="007A0BB5">
        <w:rPr>
          <w:sz w:val="18"/>
          <w:szCs w:val="18"/>
        </w:rPr>
        <w:t xml:space="preserve"> </w:t>
      </w:r>
      <w:r w:rsidR="003F10C2" w:rsidRPr="007A0BB5">
        <w:rPr>
          <w:rStyle w:val="FootnoteTextChar"/>
          <w:szCs w:val="18"/>
        </w:rPr>
        <w:t xml:space="preserve">Supreme Court Observer. “Constitutionality of Aadhaar Act - Supreme Court Observer,” December 24, 2021. </w:t>
      </w:r>
      <w:hyperlink r:id="rId29" w:history="1">
        <w:r w:rsidR="003F10C2" w:rsidRPr="007A0BB5">
          <w:rPr>
            <w:rStyle w:val="FootnoteTextChar"/>
            <w:szCs w:val="18"/>
          </w:rPr>
          <w:t>https://www.scobserver.in/cases/puttaswamy-v-union-of-india-constitutionality-of-aadhaar-act-case-background/</w:t>
        </w:r>
      </w:hyperlink>
      <w:r w:rsidR="003F10C2" w:rsidRPr="007A0BB5">
        <w:rPr>
          <w:rStyle w:val="FootnoteTextChar"/>
          <w:szCs w:val="18"/>
        </w:rPr>
        <w:t>.</w:t>
      </w:r>
    </w:p>
  </w:footnote>
  <w:footnote w:id="36">
    <w:p w14:paraId="5CAF5C7A" w14:textId="5ABA9B2F" w:rsidR="000A6003" w:rsidRPr="007A0BB5" w:rsidRDefault="009D0F65" w:rsidP="001A490C">
      <w:pPr>
        <w:rPr>
          <w:sz w:val="18"/>
          <w:szCs w:val="18"/>
        </w:rPr>
      </w:pPr>
      <w:r w:rsidRPr="007A0BB5">
        <w:rPr>
          <w:sz w:val="18"/>
          <w:szCs w:val="18"/>
          <w:vertAlign w:val="superscript"/>
        </w:rPr>
        <w:footnoteRef/>
      </w:r>
      <w:r w:rsidRPr="007A0BB5">
        <w:rPr>
          <w:sz w:val="18"/>
          <w:szCs w:val="18"/>
        </w:rPr>
        <w:t xml:space="preserve"> </w:t>
      </w:r>
      <w:r w:rsidRPr="007A0BB5">
        <w:rPr>
          <w:rStyle w:val="FootnoteTextChar"/>
          <w:szCs w:val="18"/>
        </w:rPr>
        <w:t xml:space="preserve">See for example Henne, Kathryn. “Surveillance in the Name of Governance: Aadhaar as a Fix for Leaking Systems in India.” Information, Technology and Control in a Changing World, June 22, 2019, 223–45. </w:t>
      </w:r>
      <w:hyperlink r:id="rId30">
        <w:r w:rsidRPr="007A0BB5">
          <w:rPr>
            <w:rStyle w:val="FootnoteTextChar"/>
            <w:szCs w:val="18"/>
          </w:rPr>
          <w:t>https://doi.org/10.1007/978-3-030-14540-8_11</w:t>
        </w:r>
      </w:hyperlink>
      <w:r w:rsidR="00673AF0" w:rsidRPr="007A0BB5">
        <w:rPr>
          <w:rStyle w:val="FootnoteTextChar"/>
          <w:szCs w:val="18"/>
        </w:rPr>
        <w:t xml:space="preserve">, </w:t>
      </w:r>
      <w:r w:rsidRPr="007A0BB5">
        <w:rPr>
          <w:rStyle w:val="FootnoteTextChar"/>
          <w:szCs w:val="18"/>
        </w:rPr>
        <w:t>Bhandari, Vrinda, and Karan Lahiri. "The surveillance state, privacy and criminal investigation in India: Possible futures in a post-Puttaswamy world." U. Oxford Hum. Rts. Hub J. (2020): 15</w:t>
      </w:r>
      <w:r w:rsidR="00673AF0" w:rsidRPr="007A0BB5">
        <w:rPr>
          <w:rStyle w:val="FootnoteTextChar"/>
          <w:szCs w:val="18"/>
        </w:rPr>
        <w:t xml:space="preserve">, and </w:t>
      </w:r>
      <w:r w:rsidR="001A490C" w:rsidRPr="007A0BB5">
        <w:rPr>
          <w:rStyle w:val="FootnoteTextChar"/>
          <w:szCs w:val="18"/>
        </w:rPr>
        <w:t xml:space="preserve">Tyagi, Amit Kumar, Gillala Rekha, and N. Sreenath. “Is Your Privacy Safe with Aadhaar?: An Open Discussion.” Grid Computing, December 1, 2018. </w:t>
      </w:r>
      <w:hyperlink r:id="rId31" w:history="1">
        <w:r w:rsidR="001A490C" w:rsidRPr="007A0BB5">
          <w:rPr>
            <w:rStyle w:val="FootnoteTextChar"/>
            <w:szCs w:val="18"/>
          </w:rPr>
          <w:t>https://doi.org/10.1109/pdgc.2018.8745836</w:t>
        </w:r>
      </w:hyperlink>
      <w:r w:rsidR="001A490C" w:rsidRPr="007A0BB5">
        <w:rPr>
          <w:rStyle w:val="FootnoteTextChar"/>
          <w:szCs w:val="18"/>
        </w:rPr>
        <w:t>.</w:t>
      </w:r>
      <w:r w:rsidRPr="007A0BB5">
        <w:rPr>
          <w:sz w:val="18"/>
          <w:szCs w:val="18"/>
        </w:rPr>
        <w:t xml:space="preserve"> </w:t>
      </w:r>
    </w:p>
  </w:footnote>
  <w:footnote w:id="37">
    <w:p w14:paraId="4E7B980D" w14:textId="26150C04" w:rsidR="000A6003" w:rsidRPr="007A0BB5" w:rsidRDefault="009D0F65">
      <w:pPr>
        <w:rPr>
          <w:sz w:val="18"/>
          <w:szCs w:val="18"/>
        </w:rPr>
      </w:pPr>
      <w:r w:rsidRPr="007A0BB5">
        <w:rPr>
          <w:sz w:val="18"/>
          <w:szCs w:val="18"/>
          <w:vertAlign w:val="superscript"/>
        </w:rPr>
        <w:footnoteRef/>
      </w:r>
      <w:r w:rsidRPr="007A0BB5">
        <w:rPr>
          <w:rStyle w:val="FootnoteTextChar"/>
          <w:szCs w:val="18"/>
        </w:rPr>
        <w:t xml:space="preserve"> </w:t>
      </w:r>
      <w:r w:rsidR="00B20777" w:rsidRPr="007A0BB5">
        <w:rPr>
          <w:rStyle w:val="FootnoteTextChar"/>
          <w:szCs w:val="18"/>
        </w:rPr>
        <w:t xml:space="preserve">Zee News. “Aadhaar a ‘“bedrock”’ for Govt Welfare Schemes, Saved over Rs 2 Lakh Crore: NITI Aayog.” Microsoft Start, June 1, 2022. </w:t>
      </w:r>
      <w:hyperlink r:id="rId32" w:history="1">
        <w:r w:rsidR="00B20777" w:rsidRPr="007A0BB5">
          <w:rPr>
            <w:rStyle w:val="FootnoteTextChar"/>
            <w:szCs w:val="18"/>
          </w:rPr>
          <w:t>https://www.msn.com/en-in/money/news/aadhaar-a-bedrock-for-govt-welfare-schemes-saved-over-rs-2-lakh-crore-niti-aayog/ar-AAXZ6YM</w:t>
        </w:r>
      </w:hyperlink>
    </w:p>
  </w:footnote>
  <w:footnote w:id="38">
    <w:p w14:paraId="64FFBBE7" w14:textId="7122079F" w:rsidR="001A490C" w:rsidRPr="001A490C" w:rsidRDefault="001A490C">
      <w:pPr>
        <w:pStyle w:val="FootnoteText"/>
      </w:pPr>
      <w:r w:rsidRPr="007A0BB5">
        <w:rPr>
          <w:rStyle w:val="FootnoteReference"/>
        </w:rPr>
        <w:footnoteRef/>
      </w:r>
      <w:r w:rsidRPr="007A0BB5">
        <w:rPr>
          <w:szCs w:val="18"/>
        </w:rPr>
        <w:t xml:space="preserve"> Unique Identification Authority of India. “myAadhaar One portal for all online services,” website, </w:t>
      </w:r>
      <w:hyperlink r:id="rId33" w:history="1">
        <w:r w:rsidRPr="007A0BB5">
          <w:rPr>
            <w:szCs w:val="18"/>
          </w:rPr>
          <w:t>https://www.uidai.gov.in/en/16-english-uk/aapka-aadhaar/1035-view-all-services.html</w:t>
        </w:r>
      </w:hyperlink>
      <w:r w:rsidR="00C65BEF">
        <w:rPr>
          <w:szCs w:val="18"/>
        </w:rPr>
        <w:t xml:space="preserve">. </w:t>
      </w:r>
      <w:r w:rsidR="00C65BEF">
        <w:t xml:space="preserve"> </w:t>
      </w:r>
    </w:p>
  </w:footnote>
  <w:footnote w:id="39">
    <w:p w14:paraId="790F0DE1" w14:textId="7694AFE2" w:rsidR="004F7726" w:rsidRPr="007A0BB5" w:rsidRDefault="004F7726" w:rsidP="004F7726">
      <w:pPr>
        <w:rPr>
          <w:rStyle w:val="FootnoteTextChar"/>
        </w:rPr>
      </w:pPr>
      <w:r w:rsidRPr="007A0BB5">
        <w:rPr>
          <w:rStyle w:val="FootnoteReference"/>
        </w:rPr>
        <w:footnoteRef/>
      </w:r>
      <w:r w:rsidRPr="007A0BB5">
        <w:rPr>
          <w:sz w:val="18"/>
          <w:szCs w:val="18"/>
        </w:rPr>
        <w:t xml:space="preserve"> </w:t>
      </w:r>
      <w:r w:rsidRPr="007A0BB5">
        <w:rPr>
          <w:rStyle w:val="FootnoteTextChar"/>
        </w:rPr>
        <w:t xml:space="preserve">Masiero, Silvia, and S. Shakthi. “Grappling with Aadhaar: Biometrics, Social Identity and the Indian State.” South Asia Multidisciplinary Academic Journal, no. 23 (September 15, 2020). </w:t>
      </w:r>
      <w:hyperlink r:id="rId34" w:history="1">
        <w:r w:rsidRPr="007A0BB5">
          <w:rPr>
            <w:rStyle w:val="FootnoteTextChar"/>
          </w:rPr>
          <w:t>https://doi.org/10.4000/samaj.6279</w:t>
        </w:r>
      </w:hyperlink>
      <w:r w:rsidRPr="007A0BB5">
        <w:rPr>
          <w:rStyle w:val="FootnoteTextChar"/>
        </w:rPr>
        <w:t>.</w:t>
      </w:r>
    </w:p>
  </w:footnote>
  <w:footnote w:id="40">
    <w:p w14:paraId="798E7BF2" w14:textId="692351BD" w:rsidR="001D6446" w:rsidRPr="005A36F9" w:rsidRDefault="001D6446" w:rsidP="001D6446">
      <w:pPr>
        <w:rPr>
          <w:sz w:val="20"/>
          <w:szCs w:val="20"/>
        </w:rPr>
      </w:pPr>
      <w:r w:rsidRPr="007A0BB5">
        <w:rPr>
          <w:rStyle w:val="FootnoteReference"/>
        </w:rPr>
        <w:footnoteRef/>
      </w:r>
      <w:r w:rsidRPr="007A0BB5">
        <w:rPr>
          <w:sz w:val="18"/>
          <w:szCs w:val="18"/>
        </w:rPr>
        <w:t xml:space="preserve"> </w:t>
      </w:r>
      <w:r w:rsidR="005A36F9" w:rsidRPr="007A0BB5">
        <w:rPr>
          <w:rStyle w:val="FootnoteTextChar"/>
        </w:rPr>
        <w:t xml:space="preserve">Hersey, Frank. “Maturing MOSIP Enjoys ID4Africa Limelight as It Expands Its Partnerships and Vendors Flock.” Biometric Update, March 23, 2023. Accessed April 1, 2023. </w:t>
      </w:r>
      <w:hyperlink r:id="rId35" w:history="1">
        <w:r w:rsidR="005A36F9" w:rsidRPr="007A0BB5">
          <w:rPr>
            <w:rStyle w:val="FootnoteTextChar"/>
          </w:rPr>
          <w:t>https://www.biometricupdate.com/202206/maturing-mosip-enjoys-id4africa-limelight-as-it-expands-its-partnerships-and-vendors-flock</w:t>
        </w:r>
      </w:hyperlink>
      <w:r w:rsidR="005A36F9" w:rsidRPr="007A0BB5">
        <w:rPr>
          <w:rStyle w:val="FootnoteTextChar"/>
        </w:rPr>
        <w:t>.</w:t>
      </w:r>
    </w:p>
  </w:footnote>
  <w:footnote w:id="41">
    <w:p w14:paraId="4239759C" w14:textId="77777777" w:rsidR="00BC5C1D" w:rsidRPr="006F0DEA" w:rsidRDefault="00BC5C1D" w:rsidP="00BC5C1D">
      <w:r w:rsidRPr="007A0BB5">
        <w:rPr>
          <w:sz w:val="18"/>
          <w:szCs w:val="18"/>
          <w:vertAlign w:val="superscript"/>
        </w:rPr>
        <w:footnoteRef/>
      </w:r>
      <w:r w:rsidRPr="007A0BB5">
        <w:rPr>
          <w:sz w:val="18"/>
          <w:szCs w:val="18"/>
        </w:rPr>
        <w:t xml:space="preserve"> </w:t>
      </w:r>
      <w:r w:rsidRPr="007A0BB5">
        <w:rPr>
          <w:rStyle w:val="FootnoteTextChar"/>
        </w:rPr>
        <w:t xml:space="preserve">Agenzia per L’Italia Digitale. “SPID - Public Digital Identity System|Agenzia per l’Italia Digitale.” Accessed April 1, 2023. </w:t>
      </w:r>
      <w:hyperlink r:id="rId36" w:history="1">
        <w:r w:rsidRPr="007A0BB5">
          <w:rPr>
            <w:rStyle w:val="FootnoteTextChar"/>
          </w:rPr>
          <w:t>https://www.agid.gov.it/en/platforms/spid</w:t>
        </w:r>
      </w:hyperlink>
      <w:r w:rsidRPr="007A0BB5">
        <w:rPr>
          <w:rStyle w:val="FootnoteTextChar"/>
        </w:rPr>
        <w:t>.</w:t>
      </w:r>
    </w:p>
  </w:footnote>
  <w:footnote w:id="42">
    <w:p w14:paraId="3161C567" w14:textId="77777777" w:rsidR="00BC5C1D" w:rsidRPr="007A0BB5" w:rsidRDefault="00BC5C1D" w:rsidP="00BC5C1D">
      <w:pPr>
        <w:rPr>
          <w:sz w:val="18"/>
          <w:szCs w:val="18"/>
        </w:rPr>
      </w:pPr>
      <w:r w:rsidRPr="007A0BB5">
        <w:rPr>
          <w:sz w:val="18"/>
          <w:szCs w:val="18"/>
          <w:vertAlign w:val="superscript"/>
        </w:rPr>
        <w:footnoteRef/>
      </w:r>
      <w:r w:rsidRPr="007A0BB5">
        <w:rPr>
          <w:sz w:val="18"/>
          <w:szCs w:val="18"/>
        </w:rPr>
        <w:t xml:space="preserve"> </w:t>
      </w:r>
      <w:r w:rsidRPr="007A0BB5">
        <w:rPr>
          <w:rStyle w:val="FootnoteTextChar"/>
        </w:rPr>
        <w:t xml:space="preserve">Mascellino, Alessandro. “Italian National Digital ID Scheme Reaches 30 Million Users Milestone.” Biometric Update, May 9, 2022. </w:t>
      </w:r>
      <w:hyperlink r:id="rId37" w:history="1">
        <w:r w:rsidRPr="007A0BB5">
          <w:rPr>
            <w:rStyle w:val="FootnoteTextChar"/>
          </w:rPr>
          <w:t>https://www.biometricupdate.com/202205/italian-national-digital-id-scheme-reaches-30-million-users-milestone</w:t>
        </w:r>
      </w:hyperlink>
      <w:r w:rsidRPr="007A0BB5">
        <w:rPr>
          <w:rStyle w:val="FootnoteTextChar"/>
        </w:rPr>
        <w:t>.</w:t>
      </w:r>
    </w:p>
  </w:footnote>
  <w:footnote w:id="43">
    <w:p w14:paraId="63E14BAA" w14:textId="4F079EDB" w:rsidR="00594CD5" w:rsidRDefault="00594CD5">
      <w:pPr>
        <w:pStyle w:val="FootnoteText"/>
      </w:pPr>
      <w:r>
        <w:rPr>
          <w:rStyle w:val="FootnoteReference"/>
        </w:rPr>
        <w:footnoteRef/>
      </w:r>
      <w:r>
        <w:t xml:space="preserve"> See page 72 of Secure Identity Alliance. “Giving Voice to Digital Identities Worldwide.” 18 February 2021, </w:t>
      </w:r>
      <w:r w:rsidRPr="00594CD5">
        <w:t>https://secureidentityalliance.org/utilities/news-en/entry/giving-voice-to-digital-identities-worldwide-1-1</w:t>
      </w:r>
      <w:r>
        <w:t>.</w:t>
      </w:r>
    </w:p>
  </w:footnote>
  <w:footnote w:id="44">
    <w:p w14:paraId="0C92FDB8" w14:textId="080AB464" w:rsidR="003B6F36" w:rsidRDefault="003B6F36">
      <w:pPr>
        <w:pStyle w:val="FootnoteText"/>
      </w:pPr>
      <w:r>
        <w:rPr>
          <w:rStyle w:val="FootnoteReference"/>
        </w:rPr>
        <w:footnoteRef/>
      </w:r>
      <w:r>
        <w:t xml:space="preserve"> Nigeria Data Protection Bureau. “FEC approves Nigeria data protection bill for transmission to NASS.” February 25, 2023. </w:t>
      </w:r>
      <w:r w:rsidRPr="003B6F36">
        <w:t>https://ndpb.gov.ng/Home/NewsDetails/20</w:t>
      </w:r>
      <w:r>
        <w:t>.</w:t>
      </w:r>
    </w:p>
  </w:footnote>
  <w:footnote w:id="45">
    <w:p w14:paraId="1E862915" w14:textId="30E4EAF3" w:rsidR="00B02142" w:rsidRDefault="00B02142">
      <w:pPr>
        <w:pStyle w:val="FootnoteText"/>
      </w:pPr>
      <w:r>
        <w:rPr>
          <w:rStyle w:val="FootnoteReference"/>
        </w:rPr>
        <w:footnoteRef/>
      </w:r>
      <w:r>
        <w:t xml:space="preserve"> Aliu, Patience and Nkechi Udeze. “Nigeria: An Overview of Key Changes in the Nigeria Data Protection Bill 2022.” </w:t>
      </w:r>
      <w:r w:rsidR="000777FC">
        <w:t xml:space="preserve">Mondaq. 22 February 2023. </w:t>
      </w:r>
      <w:r w:rsidR="000777FC" w:rsidRPr="000777FC">
        <w:t>https://www.mondaq.com/nigeria/privacy-protection/1283496/an-overview-of-key-changes-in-the-nigeria-data-protection-bill-2022</w:t>
      </w:r>
      <w:r w:rsidR="000777FC">
        <w:t>.</w:t>
      </w:r>
    </w:p>
  </w:footnote>
  <w:footnote w:id="46">
    <w:p w14:paraId="377D4807" w14:textId="77777777" w:rsidR="00871709" w:rsidRDefault="00871709" w:rsidP="00871709">
      <w:r>
        <w:rPr>
          <w:vertAlign w:val="superscript"/>
        </w:rPr>
        <w:footnoteRef/>
      </w:r>
      <w:r>
        <w:t xml:space="preserve"> NIMC Data Privacy Knowledgebase: </w:t>
      </w:r>
      <w:hyperlink r:id="rId38" w:history="1">
        <w:r>
          <w:t>https://kb.nimc.gov.ng</w:t>
        </w:r>
      </w:hyperlink>
      <w:r>
        <w:t xml:space="preserve"> </w:t>
      </w:r>
    </w:p>
  </w:footnote>
  <w:footnote w:id="47">
    <w:p w14:paraId="57568EA0" w14:textId="77BF491B" w:rsidR="00B02142" w:rsidRPr="00095237" w:rsidRDefault="002D219F" w:rsidP="00095237">
      <w:pPr>
        <w:pStyle w:val="FootnoteText"/>
      </w:pPr>
      <w:r>
        <w:rPr>
          <w:rStyle w:val="FootnoteReference"/>
        </w:rPr>
        <w:footnoteRef/>
      </w:r>
      <w:r>
        <w:t xml:space="preserve"> </w:t>
      </w:r>
      <w:r w:rsidR="00B02142">
        <w:t xml:space="preserve">Privacy International. </w:t>
      </w:r>
      <w:r w:rsidR="00B02142" w:rsidRPr="00B02142">
        <w:t>“</w:t>
      </w:r>
      <w:r w:rsidR="00B02142" w:rsidRPr="00095237">
        <w:t>The EU, the Externalisation of Migration Control, and ID Systems: Here's What's Happening and What Needs to Change</w:t>
      </w:r>
      <w:r w:rsidR="00B02142">
        <w:t xml:space="preserve">.” 15 October 2021. </w:t>
      </w:r>
      <w:r w:rsidR="00B02142" w:rsidRPr="00B02142">
        <w:t>https://privacyinternational.org/long-read/4651/eu-externalisation-migration-control-and-id-systems-heres-whats-happening-and-what</w:t>
      </w:r>
      <w:r w:rsidR="00B02142">
        <w:t xml:space="preserve">. </w:t>
      </w:r>
    </w:p>
    <w:p w14:paraId="00BFAC9C" w14:textId="2EAA6C5D" w:rsidR="002D219F" w:rsidRDefault="002D219F">
      <w:pPr>
        <w:pStyle w:val="FootnoteText"/>
      </w:pPr>
    </w:p>
  </w:footnote>
  <w:footnote w:id="48">
    <w:p w14:paraId="7684FB7E" w14:textId="04EA2509" w:rsidR="000A6003" w:rsidRPr="007A0BB5" w:rsidRDefault="009D0F65" w:rsidP="005A36F9">
      <w:pPr>
        <w:rPr>
          <w:sz w:val="18"/>
          <w:szCs w:val="18"/>
        </w:rPr>
      </w:pPr>
      <w:r w:rsidRPr="007A0BB5">
        <w:rPr>
          <w:sz w:val="18"/>
          <w:szCs w:val="18"/>
          <w:vertAlign w:val="superscript"/>
        </w:rPr>
        <w:footnoteRef/>
      </w:r>
      <w:r w:rsidRPr="007A0BB5">
        <w:rPr>
          <w:sz w:val="18"/>
          <w:szCs w:val="18"/>
        </w:rPr>
        <w:t xml:space="preserve"> </w:t>
      </w:r>
      <w:r w:rsidR="005A36F9" w:rsidRPr="007A0BB5">
        <w:rPr>
          <w:rStyle w:val="FootnoteTextChar"/>
        </w:rPr>
        <w:t xml:space="preserve">Government of Singapore. “Singpass - Your Improved Digital ID.” Accessed April 1, 2023. </w:t>
      </w:r>
      <w:hyperlink r:id="rId39" w:history="1">
        <w:r w:rsidR="005A36F9" w:rsidRPr="007A0BB5">
          <w:rPr>
            <w:rStyle w:val="FootnoteTextChar"/>
          </w:rPr>
          <w:t>https://www.singpass.gov.sg/main/</w:t>
        </w:r>
      </w:hyperlink>
      <w:r w:rsidR="005A36F9" w:rsidRPr="007A0BB5">
        <w:rPr>
          <w:rStyle w:val="FootnoteTextChar"/>
        </w:rPr>
        <w:t>.</w:t>
      </w:r>
    </w:p>
  </w:footnote>
  <w:footnote w:id="49">
    <w:p w14:paraId="66B109A1" w14:textId="5ECE83A9" w:rsidR="000A6003" w:rsidRPr="007A0BB5" w:rsidRDefault="009D0F65" w:rsidP="005A36F9">
      <w:pPr>
        <w:rPr>
          <w:sz w:val="18"/>
          <w:szCs w:val="18"/>
        </w:rPr>
      </w:pPr>
      <w:r w:rsidRPr="007A0BB5">
        <w:rPr>
          <w:sz w:val="18"/>
          <w:szCs w:val="18"/>
          <w:vertAlign w:val="superscript"/>
        </w:rPr>
        <w:footnoteRef/>
      </w:r>
      <w:r w:rsidRPr="007A0BB5">
        <w:rPr>
          <w:sz w:val="18"/>
          <w:szCs w:val="18"/>
        </w:rPr>
        <w:t xml:space="preserve"> </w:t>
      </w:r>
      <w:r w:rsidR="005A36F9" w:rsidRPr="007A0BB5">
        <w:rPr>
          <w:rStyle w:val="FootnoteTextChar"/>
        </w:rPr>
        <w:t xml:space="preserve">Government of Singapore, Smart Nation and Digital Government Office (SNDGO). “Singpass Singapore’s National Digital Identity (Factsheet).” Accessed April 1, 2023. </w:t>
      </w:r>
      <w:hyperlink r:id="rId40" w:history="1">
        <w:r w:rsidR="005A36F9" w:rsidRPr="007A0BB5">
          <w:rPr>
            <w:rStyle w:val="FootnoteTextChar"/>
          </w:rPr>
          <w:t>https://www.smartnation.gov.sg/media-hub/press-releases/singpass-factsheet-02032022</w:t>
        </w:r>
      </w:hyperlink>
      <w:r w:rsidR="005A36F9" w:rsidRPr="007A0BB5">
        <w:rPr>
          <w:rStyle w:val="FootnoteTextChar"/>
        </w:rPr>
        <w:t>.</w:t>
      </w:r>
    </w:p>
  </w:footnote>
  <w:footnote w:id="50">
    <w:p w14:paraId="30CB653E" w14:textId="77FAC576" w:rsidR="000A6003" w:rsidRPr="007A0BB5" w:rsidRDefault="009D0F65" w:rsidP="005A36F9">
      <w:pPr>
        <w:rPr>
          <w:sz w:val="18"/>
          <w:szCs w:val="18"/>
        </w:rPr>
      </w:pPr>
      <w:r w:rsidRPr="007A0BB5">
        <w:rPr>
          <w:sz w:val="18"/>
          <w:szCs w:val="18"/>
          <w:vertAlign w:val="superscript"/>
        </w:rPr>
        <w:footnoteRef/>
      </w:r>
      <w:r w:rsidRPr="007A0BB5">
        <w:rPr>
          <w:sz w:val="18"/>
          <w:szCs w:val="18"/>
        </w:rPr>
        <w:t xml:space="preserve"> </w:t>
      </w:r>
      <w:r w:rsidR="005A36F9" w:rsidRPr="007A0BB5">
        <w:rPr>
          <w:rStyle w:val="FootnoteTextChar"/>
        </w:rPr>
        <w:t xml:space="preserve">The World Bank, International Bank for Reconstruction and Development. “National Digital Identity and Government Data Sharing in Singapore: A Case Study of Singpass and APEX,” 2022. pp. xiv. </w:t>
      </w:r>
      <w:hyperlink r:id="rId41" w:history="1">
        <w:r w:rsidR="005A36F9" w:rsidRPr="007A0BB5">
          <w:rPr>
            <w:rStyle w:val="FootnoteTextChar"/>
          </w:rPr>
          <w:t>https://www.developer.tech.gov.sg/assets/files/GovTech%20World%20Bank%20NDI%20APEX%20report.pdf</w:t>
        </w:r>
      </w:hyperlink>
      <w:r w:rsidR="005A36F9" w:rsidRPr="007A0BB5">
        <w:rPr>
          <w:rStyle w:val="FootnoteTextChar"/>
        </w:rPr>
        <w:t>.</w:t>
      </w:r>
    </w:p>
  </w:footnote>
  <w:footnote w:id="51">
    <w:p w14:paraId="05F7C9C1" w14:textId="69C5377D" w:rsidR="000A6003" w:rsidRPr="00153960" w:rsidRDefault="009D0F65" w:rsidP="005A36F9">
      <w:pPr>
        <w:rPr>
          <w:sz w:val="20"/>
          <w:szCs w:val="20"/>
        </w:rPr>
      </w:pPr>
      <w:r w:rsidRPr="007A0BB5">
        <w:rPr>
          <w:sz w:val="18"/>
          <w:szCs w:val="18"/>
          <w:vertAlign w:val="superscript"/>
        </w:rPr>
        <w:footnoteRef/>
      </w:r>
      <w:r w:rsidR="005A36F9" w:rsidRPr="007A0BB5">
        <w:rPr>
          <w:sz w:val="18"/>
          <w:szCs w:val="18"/>
        </w:rPr>
        <w:t xml:space="preserve"> </w:t>
      </w:r>
      <w:r w:rsidR="005A36F9" w:rsidRPr="007A0BB5">
        <w:rPr>
          <w:rStyle w:val="FootnoteTextChar"/>
        </w:rPr>
        <w:t xml:space="preserve">The World Bank, International Bank for Reconstruction and Development. “National Digital Identity and Government Data Sharing in Singapore: A Case Study of Singpass and APEX,” 2022. pp. 46. </w:t>
      </w:r>
      <w:hyperlink r:id="rId42" w:history="1">
        <w:r w:rsidR="005A36F9" w:rsidRPr="007A0BB5">
          <w:rPr>
            <w:rStyle w:val="FootnoteTextChar"/>
          </w:rPr>
          <w:t>https://www.developer.tech.gov.sg/assets/files/GovTech%20World%20Bank%20NDI%20APEX%20report.pdf</w:t>
        </w:r>
      </w:hyperlink>
      <w:r w:rsidR="005A36F9" w:rsidRPr="007A0BB5">
        <w:rPr>
          <w:rStyle w:val="FootnoteTextChar"/>
        </w:rPr>
        <w:t>.</w:t>
      </w:r>
    </w:p>
  </w:footnote>
  <w:footnote w:id="52">
    <w:p w14:paraId="0C3BCD57" w14:textId="43361DF8" w:rsidR="00E67C36" w:rsidRPr="003E61A7" w:rsidRDefault="00E67C36">
      <w:pPr>
        <w:pStyle w:val="FootnoteText"/>
      </w:pPr>
      <w:r>
        <w:rPr>
          <w:rStyle w:val="FootnoteReference"/>
        </w:rPr>
        <w:footnoteRef/>
      </w:r>
      <w:r>
        <w:t xml:space="preserve"> </w:t>
      </w:r>
      <w:r w:rsidRPr="00E67C36">
        <w:rPr>
          <w:lang w:val="en"/>
        </w:rPr>
        <w:t>For more information on the technical architecture of Singpass and its use of OIDC, see</w:t>
      </w:r>
      <w:r>
        <w:t xml:space="preserve"> the Government of Singapore</w:t>
      </w:r>
      <w:r w:rsidR="004C578D">
        <w:t xml:space="preserve">. Login: Authenticate and onboard existing Singpass users with higher assurance. Singpass API Overview. Last updated 26 April 2023. </w:t>
      </w:r>
      <w:r w:rsidR="004C578D" w:rsidRPr="004C578D">
        <w:t>https://api.singpass.gov.sg/library/login/developers/overview-at-a-glance</w:t>
      </w:r>
      <w:r w:rsidR="004C578D">
        <w:t>.</w:t>
      </w:r>
    </w:p>
  </w:footnote>
  <w:footnote w:id="53">
    <w:p w14:paraId="0E039682" w14:textId="60D0A535" w:rsidR="000A6003" w:rsidRPr="007A0BB5" w:rsidRDefault="009D0F65" w:rsidP="00153960">
      <w:pPr>
        <w:rPr>
          <w:sz w:val="18"/>
          <w:szCs w:val="18"/>
        </w:rPr>
      </w:pPr>
      <w:r w:rsidRPr="007A0BB5">
        <w:rPr>
          <w:sz w:val="18"/>
          <w:szCs w:val="18"/>
          <w:vertAlign w:val="superscript"/>
        </w:rPr>
        <w:footnoteRef/>
      </w:r>
      <w:r w:rsidRPr="007A0BB5">
        <w:rPr>
          <w:sz w:val="18"/>
          <w:szCs w:val="18"/>
        </w:rPr>
        <w:t xml:space="preserve"> </w:t>
      </w:r>
      <w:r w:rsidR="00153960" w:rsidRPr="007A0BB5">
        <w:rPr>
          <w:rStyle w:val="FootnoteTextChar"/>
        </w:rPr>
        <w:t xml:space="preserve">Hersey, Frank. “Singpass Incorporates Digital Identity Card, Saves $36 per Onboarding, Considers Decentralization.” Biometric Update |, September 9, 2022. Accessed April 1, 2023. </w:t>
      </w:r>
      <w:hyperlink r:id="rId43" w:history="1">
        <w:r w:rsidR="00153960" w:rsidRPr="007A0BB5">
          <w:rPr>
            <w:rStyle w:val="FootnoteTextChar"/>
          </w:rPr>
          <w:t>https://www.biometricupdate.com/202207/singpass-incorporates-digital-identity-card-saves-36-per-onboarding-considers-decentralization</w:t>
        </w:r>
      </w:hyperlink>
      <w:r w:rsidR="00153960" w:rsidRPr="007A0BB5">
        <w:rPr>
          <w:rStyle w:val="FootnoteTextChar"/>
        </w:rPr>
        <w:t>.</w:t>
      </w:r>
    </w:p>
  </w:footnote>
  <w:footnote w:id="54">
    <w:p w14:paraId="0476BB84" w14:textId="3825446D" w:rsidR="000B220E" w:rsidRPr="007A0BB5" w:rsidRDefault="000B220E" w:rsidP="000B220E">
      <w:pPr>
        <w:rPr>
          <w:sz w:val="18"/>
          <w:szCs w:val="18"/>
        </w:rPr>
      </w:pPr>
      <w:r w:rsidRPr="007A0BB5">
        <w:rPr>
          <w:rStyle w:val="FootnoteReference"/>
        </w:rPr>
        <w:footnoteRef/>
      </w:r>
      <w:r w:rsidRPr="007A0BB5">
        <w:rPr>
          <w:sz w:val="18"/>
          <w:szCs w:val="18"/>
        </w:rPr>
        <w:t xml:space="preserve"> </w:t>
      </w:r>
      <w:r w:rsidRPr="007A0BB5">
        <w:rPr>
          <w:rStyle w:val="FootnoteTextChar"/>
        </w:rPr>
        <w:t xml:space="preserve">Note that digital credential issuance by the U.S. government is in progress. See U.S. Department of Homeland Security Science and Technology Directorate. “News Release: DHS Awards $181K to Verify Digital Credentials | Homeland Security,” November 14, 2019. </w:t>
      </w:r>
      <w:hyperlink r:id="rId44" w:history="1">
        <w:r w:rsidRPr="007A0BB5">
          <w:rPr>
            <w:rStyle w:val="FootnoteTextChar"/>
          </w:rPr>
          <w:t>https://www.dhs.gov/science-and-technology/news/2019/11/14/news-release-dhs-awards-181k-verify-digital-credentials</w:t>
        </w:r>
      </w:hyperlink>
      <w:r w:rsidRPr="007A0BB5">
        <w:rPr>
          <w:rStyle w:val="FootnoteTextChar"/>
        </w:rPr>
        <w:t>.</w:t>
      </w:r>
    </w:p>
  </w:footnote>
  <w:footnote w:id="55">
    <w:p w14:paraId="7252A48F" w14:textId="3C94CCA9" w:rsidR="000A6003" w:rsidRPr="007A0BB5" w:rsidRDefault="009D0F65" w:rsidP="00F10596">
      <w:pPr>
        <w:rPr>
          <w:sz w:val="18"/>
          <w:szCs w:val="18"/>
        </w:rPr>
      </w:pPr>
      <w:r w:rsidRPr="007A0BB5">
        <w:rPr>
          <w:sz w:val="18"/>
          <w:szCs w:val="18"/>
          <w:vertAlign w:val="superscript"/>
        </w:rPr>
        <w:footnoteRef/>
      </w:r>
      <w:r w:rsidRPr="007A0BB5">
        <w:rPr>
          <w:sz w:val="18"/>
          <w:szCs w:val="18"/>
        </w:rPr>
        <w:t xml:space="preserve"> </w:t>
      </w:r>
      <w:r w:rsidR="00F10596" w:rsidRPr="007A0BB5">
        <w:rPr>
          <w:rStyle w:val="FootnoteTextChar"/>
        </w:rPr>
        <w:t xml:space="preserve">AAMVA. “Home - American Association of Motor Vehicle Administrators - AAMVA,” </w:t>
      </w:r>
      <w:r w:rsidR="000C7F52" w:rsidRPr="007A0BB5">
        <w:rPr>
          <w:rStyle w:val="FootnoteTextChar"/>
        </w:rPr>
        <w:t xml:space="preserve">Accessed April 1, 2023. </w:t>
      </w:r>
      <w:hyperlink r:id="rId45" w:history="1">
        <w:r w:rsidR="000C7F52" w:rsidRPr="007A0BB5">
          <w:rPr>
            <w:rStyle w:val="FootnoteTextChar"/>
          </w:rPr>
          <w:t>https://www.aamva.org/</w:t>
        </w:r>
      </w:hyperlink>
      <w:r w:rsidR="00F10596" w:rsidRPr="007A0BB5">
        <w:rPr>
          <w:rStyle w:val="FootnoteTextChar"/>
        </w:rPr>
        <w:t>.</w:t>
      </w:r>
    </w:p>
  </w:footnote>
  <w:footnote w:id="56">
    <w:p w14:paraId="677FF45D" w14:textId="1A686410" w:rsidR="000A6003" w:rsidRPr="007A0BB5" w:rsidRDefault="009D0F65" w:rsidP="000C7F52">
      <w:pPr>
        <w:rPr>
          <w:sz w:val="18"/>
          <w:szCs w:val="18"/>
        </w:rPr>
      </w:pPr>
      <w:r w:rsidRPr="007A0BB5">
        <w:rPr>
          <w:sz w:val="18"/>
          <w:szCs w:val="18"/>
          <w:vertAlign w:val="superscript"/>
        </w:rPr>
        <w:footnoteRef/>
      </w:r>
      <w:r w:rsidRPr="007A0BB5">
        <w:rPr>
          <w:sz w:val="18"/>
          <w:szCs w:val="18"/>
        </w:rPr>
        <w:t xml:space="preserve"> </w:t>
      </w:r>
      <w:r w:rsidR="000C7F52" w:rsidRPr="007A0BB5">
        <w:rPr>
          <w:rStyle w:val="FootnoteTextChar"/>
        </w:rPr>
        <w:t xml:space="preserve">American Association of Motor Vehicle Administrators - AAMVA. “Mobile Driver License.” Accessed April 1, 2023. </w:t>
      </w:r>
      <w:hyperlink r:id="rId46" w:anchor="?wst=4a3b89462cc2cff2cbe0c7accde57421" w:history="1">
        <w:r w:rsidR="000C7F52" w:rsidRPr="007A0BB5">
          <w:rPr>
            <w:rStyle w:val="FootnoteTextChar"/>
          </w:rPr>
          <w:t>https://www.aamva.org/topics/mobile-driver-license#?wst=4a3b89462cc2cff2cbe0c7accde57421</w:t>
        </w:r>
      </w:hyperlink>
      <w:r w:rsidR="000C7F52" w:rsidRPr="007A0BB5">
        <w:rPr>
          <w:rStyle w:val="FootnoteTextChar"/>
        </w:rPr>
        <w:t>.</w:t>
      </w:r>
    </w:p>
  </w:footnote>
  <w:footnote w:id="57">
    <w:p w14:paraId="165C89D6" w14:textId="7799900A" w:rsidR="000C7F52" w:rsidRPr="000C7F52" w:rsidRDefault="000C7F52" w:rsidP="000C7F52">
      <w:pPr>
        <w:rPr>
          <w:sz w:val="20"/>
          <w:szCs w:val="20"/>
        </w:rPr>
      </w:pPr>
      <w:r w:rsidRPr="007A0BB5">
        <w:rPr>
          <w:rStyle w:val="FootnoteReference"/>
        </w:rPr>
        <w:footnoteRef/>
      </w:r>
      <w:r w:rsidRPr="007A0BB5">
        <w:rPr>
          <w:sz w:val="18"/>
          <w:szCs w:val="18"/>
        </w:rPr>
        <w:t xml:space="preserve"> </w:t>
      </w:r>
      <w:r w:rsidRPr="007A0BB5">
        <w:rPr>
          <w:rStyle w:val="FootnoteTextChar"/>
        </w:rPr>
        <w:t xml:space="preserve">McConvey, Joel R. “Banks Hit with Biometric Fraud, Fake Mobile Driver’s Licenses.” Biometric Update, March 20, 2023. </w:t>
      </w:r>
      <w:hyperlink r:id="rId47" w:history="1">
        <w:r w:rsidRPr="007A0BB5">
          <w:rPr>
            <w:rStyle w:val="FootnoteTextChar"/>
          </w:rPr>
          <w:t>https://www.biometricupdate.com/202303/banks-hit-with-biometric-fraud-fake-mobile-drivers-licenses</w:t>
        </w:r>
      </w:hyperlink>
      <w:r w:rsidRPr="007A0BB5">
        <w:rPr>
          <w:rStyle w:val="FootnoteTextChar"/>
        </w:rPr>
        <w:t>.</w:t>
      </w:r>
    </w:p>
  </w:footnote>
  <w:footnote w:id="58">
    <w:p w14:paraId="32CE7BB6" w14:textId="1948FE38" w:rsidR="000A6003" w:rsidRPr="007A0BB5" w:rsidRDefault="009D0F65" w:rsidP="004A7B13">
      <w:pPr>
        <w:rPr>
          <w:sz w:val="18"/>
          <w:szCs w:val="18"/>
        </w:rPr>
      </w:pPr>
      <w:r w:rsidRPr="007A0BB5">
        <w:rPr>
          <w:sz w:val="18"/>
          <w:szCs w:val="18"/>
          <w:vertAlign w:val="superscript"/>
        </w:rPr>
        <w:footnoteRef/>
      </w:r>
      <w:r w:rsidRPr="007A0BB5">
        <w:rPr>
          <w:sz w:val="18"/>
          <w:szCs w:val="18"/>
        </w:rPr>
        <w:t xml:space="preserve"> </w:t>
      </w:r>
      <w:r w:rsidR="004A7B13" w:rsidRPr="007A0BB5">
        <w:rPr>
          <w:rStyle w:val="FootnoteTextChar"/>
        </w:rPr>
        <w:t xml:space="preserve">Pascale, Jordan. “Maryland Launches Digital Version Of Driver’s License On IPhone.” DCist, May 26, 2022. </w:t>
      </w:r>
      <w:hyperlink r:id="rId48" w:history="1">
        <w:r w:rsidR="004A7B13" w:rsidRPr="007A0BB5">
          <w:rPr>
            <w:rStyle w:val="FootnoteTextChar"/>
          </w:rPr>
          <w:t>https://dcist.com/story/22/05/26/maryland-digital-drivers-license/</w:t>
        </w:r>
      </w:hyperlink>
      <w:r w:rsidR="004A7B13" w:rsidRPr="007A0BB5">
        <w:rPr>
          <w:rStyle w:val="FootnoteTextChar"/>
        </w:rPr>
        <w:t>.</w:t>
      </w:r>
    </w:p>
  </w:footnote>
  <w:footnote w:id="59">
    <w:p w14:paraId="366CCC7C" w14:textId="74A9AC56" w:rsidR="000A6003" w:rsidRPr="007A0BB5" w:rsidRDefault="009D0F65" w:rsidP="00BD1989">
      <w:pPr>
        <w:rPr>
          <w:sz w:val="18"/>
          <w:szCs w:val="18"/>
        </w:rPr>
      </w:pPr>
      <w:r w:rsidRPr="007A0BB5">
        <w:rPr>
          <w:sz w:val="18"/>
          <w:szCs w:val="18"/>
          <w:vertAlign w:val="superscript"/>
        </w:rPr>
        <w:footnoteRef/>
      </w:r>
      <w:r w:rsidRPr="007A0BB5">
        <w:rPr>
          <w:sz w:val="18"/>
          <w:szCs w:val="18"/>
        </w:rPr>
        <w:t xml:space="preserve"> </w:t>
      </w:r>
      <w:r w:rsidR="00BD1989" w:rsidRPr="007A0BB5">
        <w:rPr>
          <w:rStyle w:val="FootnoteTextChar"/>
        </w:rPr>
        <w:t xml:space="preserve">Maryland General Assembly. “The Personal Information Protection Act (PIPA), Md. Code Ann. Comm. Law 14-3504,” April 30, 2019. </w:t>
      </w:r>
      <w:hyperlink r:id="rId49" w:history="1">
        <w:r w:rsidR="00BD1989" w:rsidRPr="007A0BB5">
          <w:rPr>
            <w:rStyle w:val="FootnoteTextChar"/>
          </w:rPr>
          <w:t>http://mgaleg.maryland.gov/mgawebsite/Laws/StatuteText?article=gcl</w:t>
        </w:r>
      </w:hyperlink>
      <w:r w:rsidR="00BD1989" w:rsidRPr="007A0BB5">
        <w:rPr>
          <w:rStyle w:val="FootnoteTextChar"/>
        </w:rPr>
        <w:t>§ion=14-3504&amp;enactments=False&amp;archived=False.</w:t>
      </w:r>
    </w:p>
  </w:footnote>
  <w:footnote w:id="60">
    <w:p w14:paraId="06ED82F3" w14:textId="316D60A5" w:rsidR="000A6003" w:rsidRPr="007A0BB5" w:rsidRDefault="009D0F65" w:rsidP="00BD1989">
      <w:pPr>
        <w:rPr>
          <w:sz w:val="18"/>
          <w:szCs w:val="18"/>
        </w:rPr>
      </w:pPr>
      <w:r w:rsidRPr="007A0BB5">
        <w:rPr>
          <w:sz w:val="18"/>
          <w:szCs w:val="18"/>
          <w:vertAlign w:val="superscript"/>
        </w:rPr>
        <w:footnoteRef/>
      </w:r>
      <w:r w:rsidRPr="007A0BB5">
        <w:rPr>
          <w:sz w:val="18"/>
          <w:szCs w:val="18"/>
        </w:rPr>
        <w:t xml:space="preserve"> </w:t>
      </w:r>
      <w:r w:rsidR="00BD1989" w:rsidRPr="007A0BB5">
        <w:rPr>
          <w:rStyle w:val="FootnoteTextChar"/>
        </w:rPr>
        <w:t xml:space="preserve">Maryland Department of Transportation Motor Vehicle Administration. “Mobile Driver’s License (MDL) Terms and Conditions,” April 12, 2022. </w:t>
      </w:r>
      <w:hyperlink r:id="rId50" w:history="1">
        <w:r w:rsidR="00BD1989" w:rsidRPr="007A0BB5">
          <w:rPr>
            <w:rStyle w:val="FootnoteTextChar"/>
          </w:rPr>
          <w:t>https://mva.maryland.gov/Documents/mDL-Terms-and-Conditions.pdf</w:t>
        </w:r>
      </w:hyperlink>
      <w:r w:rsidR="00BD1989" w:rsidRPr="007A0BB5">
        <w:rPr>
          <w:rStyle w:val="FootnoteTextChar"/>
        </w:rPr>
        <w:t>.</w:t>
      </w:r>
    </w:p>
  </w:footnote>
  <w:footnote w:id="61">
    <w:p w14:paraId="60C545D8" w14:textId="03AFD169" w:rsidR="000A6003" w:rsidRPr="007A0BB5" w:rsidRDefault="009D0F65" w:rsidP="0038042C">
      <w:pPr>
        <w:rPr>
          <w:sz w:val="18"/>
          <w:szCs w:val="18"/>
        </w:rPr>
      </w:pPr>
      <w:r w:rsidRPr="007A0BB5">
        <w:rPr>
          <w:sz w:val="18"/>
          <w:szCs w:val="18"/>
          <w:vertAlign w:val="superscript"/>
        </w:rPr>
        <w:footnoteRef/>
      </w:r>
      <w:r w:rsidRPr="007A0BB5">
        <w:rPr>
          <w:sz w:val="18"/>
          <w:szCs w:val="18"/>
        </w:rPr>
        <w:t xml:space="preserve"> </w:t>
      </w:r>
      <w:r w:rsidR="0038042C" w:rsidRPr="007A0BB5">
        <w:rPr>
          <w:rStyle w:val="FootnoteTextChar"/>
        </w:rPr>
        <w:t xml:space="preserve">Arizona Department of Transportation. “Arizonans Are First in the Nation to Add Driver Licenses to Apple Wallet | ADOT,” March 23, 2022. </w:t>
      </w:r>
      <w:hyperlink r:id="rId51" w:history="1">
        <w:r w:rsidR="0038042C" w:rsidRPr="007A0BB5">
          <w:rPr>
            <w:rStyle w:val="FootnoteTextChar"/>
          </w:rPr>
          <w:t>https://azdot.gov/adot-news/arizonans-are-first-nation-add-driver-licenses-apple-wallet</w:t>
        </w:r>
      </w:hyperlink>
      <w:r w:rsidR="0038042C" w:rsidRPr="007A0BB5">
        <w:rPr>
          <w:rStyle w:val="FootnoteTextChar"/>
        </w:rPr>
        <w:t>.</w:t>
      </w:r>
    </w:p>
  </w:footnote>
  <w:footnote w:id="62">
    <w:p w14:paraId="0B1557B3" w14:textId="1D6BF1A4" w:rsidR="000A6003" w:rsidRPr="00963293" w:rsidRDefault="009D0F65" w:rsidP="00963293">
      <w:pPr>
        <w:rPr>
          <w:sz w:val="21"/>
          <w:szCs w:val="21"/>
        </w:rPr>
      </w:pPr>
      <w:r w:rsidRPr="007A0BB5">
        <w:rPr>
          <w:sz w:val="18"/>
          <w:szCs w:val="18"/>
          <w:vertAlign w:val="superscript"/>
        </w:rPr>
        <w:footnoteRef/>
      </w:r>
      <w:r w:rsidRPr="007A0BB5">
        <w:rPr>
          <w:sz w:val="18"/>
          <w:szCs w:val="18"/>
        </w:rPr>
        <w:t xml:space="preserve"> </w:t>
      </w:r>
      <w:r w:rsidR="00963293" w:rsidRPr="007A0BB5">
        <w:rPr>
          <w:rStyle w:val="FootnoteTextChar"/>
        </w:rPr>
        <w:t xml:space="preserve">State of Arizona. “Privacy Policy.” Accessed April 1, 2023. </w:t>
      </w:r>
      <w:hyperlink r:id="rId52" w:history="1">
        <w:r w:rsidR="00963293" w:rsidRPr="007A0BB5">
          <w:rPr>
            <w:rStyle w:val="FootnoteTextChar"/>
          </w:rPr>
          <w:t>https://az.gov/policy/privacy</w:t>
        </w:r>
      </w:hyperlink>
      <w:r w:rsidR="00963293" w:rsidRPr="007A0BB5">
        <w:rPr>
          <w:rStyle w:val="FootnoteTextChar"/>
        </w:rPr>
        <w:t>.</w:t>
      </w:r>
    </w:p>
  </w:footnote>
  <w:footnote w:id="63">
    <w:p w14:paraId="4CD2148A" w14:textId="033F4B8D" w:rsidR="000A6003" w:rsidRPr="007A0BB5" w:rsidRDefault="009D0F65" w:rsidP="00963293">
      <w:pPr>
        <w:rPr>
          <w:rStyle w:val="FootnoteTextChar"/>
        </w:rPr>
      </w:pPr>
      <w:r w:rsidRPr="007A0BB5">
        <w:rPr>
          <w:sz w:val="18"/>
          <w:szCs w:val="18"/>
          <w:vertAlign w:val="superscript"/>
        </w:rPr>
        <w:footnoteRef/>
      </w:r>
      <w:r w:rsidRPr="007A0BB5">
        <w:rPr>
          <w:sz w:val="18"/>
          <w:szCs w:val="18"/>
        </w:rPr>
        <w:t xml:space="preserve"> </w:t>
      </w:r>
      <w:r w:rsidR="00963293" w:rsidRPr="007A0BB5">
        <w:rPr>
          <w:rStyle w:val="FootnoteTextChar"/>
        </w:rPr>
        <w:t xml:space="preserve">MacDonald-Evoy, Jerod. “Apple Digital Driver’s License in Arizona Raise Privacy Concerns.” AZ Mirror, March 25, 2022. </w:t>
      </w:r>
      <w:hyperlink r:id="rId53" w:history="1">
        <w:r w:rsidR="00963293" w:rsidRPr="007A0BB5">
          <w:rPr>
            <w:rStyle w:val="FootnoteTextChar"/>
          </w:rPr>
          <w:t>https://www.azmirror.com/2022/03/25/apple-digital-drivers-license-in-arizona-raise-privacy-concerns/</w:t>
        </w:r>
      </w:hyperlink>
      <w:r w:rsidR="00963293" w:rsidRPr="007A0BB5">
        <w:rPr>
          <w:rStyle w:val="FootnoteTextChar"/>
        </w:rPr>
        <w:t>.</w:t>
      </w:r>
    </w:p>
  </w:footnote>
  <w:footnote w:id="64">
    <w:p w14:paraId="326AD9E9" w14:textId="27603473" w:rsidR="000A6003" w:rsidRPr="007A0BB5" w:rsidRDefault="009D0F65" w:rsidP="00963293">
      <w:pPr>
        <w:rPr>
          <w:rStyle w:val="FootnoteTextChar"/>
        </w:rPr>
      </w:pPr>
      <w:r w:rsidRPr="007A0BB5">
        <w:rPr>
          <w:sz w:val="18"/>
          <w:szCs w:val="18"/>
          <w:vertAlign w:val="superscript"/>
        </w:rPr>
        <w:footnoteRef/>
      </w:r>
      <w:r w:rsidRPr="007A0BB5">
        <w:rPr>
          <w:sz w:val="18"/>
          <w:szCs w:val="18"/>
        </w:rPr>
        <w:t xml:space="preserve"> </w:t>
      </w:r>
      <w:r w:rsidR="00963293" w:rsidRPr="007A0BB5">
        <w:rPr>
          <w:rStyle w:val="FootnoteTextChar"/>
        </w:rPr>
        <w:t xml:space="preserve">Nash, Jim. “Mobile Driving Licenses Live in Utah, Arizona for Credit Union Transactions.” Biometric Update, August 11, 2022. </w:t>
      </w:r>
      <w:hyperlink r:id="rId54" w:history="1">
        <w:r w:rsidR="00963293" w:rsidRPr="007A0BB5">
          <w:rPr>
            <w:rStyle w:val="FootnoteTextChar"/>
          </w:rPr>
          <w:t>https://www.biometricupdate.com/202208/mobile-driving-licenses-live-in-utah-arizona-for-credit-union-transactions</w:t>
        </w:r>
      </w:hyperlink>
      <w:r w:rsidR="00963293" w:rsidRPr="007A0BB5">
        <w:rPr>
          <w:rStyle w:val="FootnoteTextChar"/>
        </w:rPr>
        <w:t>.</w:t>
      </w:r>
    </w:p>
  </w:footnote>
  <w:footnote w:id="65">
    <w:p w14:paraId="48368913" w14:textId="39F9D735" w:rsidR="000A6003" w:rsidRPr="007A0BB5" w:rsidRDefault="009D0F65" w:rsidP="00963293">
      <w:pPr>
        <w:rPr>
          <w:rStyle w:val="FootnoteTextChar"/>
        </w:rPr>
      </w:pPr>
      <w:r w:rsidRPr="007A0BB5">
        <w:rPr>
          <w:sz w:val="18"/>
          <w:szCs w:val="18"/>
          <w:vertAlign w:val="superscript"/>
        </w:rPr>
        <w:footnoteRef/>
      </w:r>
      <w:r w:rsidRPr="007A0BB5">
        <w:rPr>
          <w:sz w:val="18"/>
          <w:szCs w:val="18"/>
        </w:rPr>
        <w:t xml:space="preserve"> </w:t>
      </w:r>
      <w:r w:rsidR="00963293" w:rsidRPr="007A0BB5">
        <w:rPr>
          <w:rStyle w:val="FootnoteTextChar"/>
        </w:rPr>
        <w:t xml:space="preserve">Beal-Cvetko, Bridger. “Is Misinformation about COVID, United Nations a Trend at Utah Capitol?” Deseret News, March 11, 2022. </w:t>
      </w:r>
      <w:hyperlink r:id="rId55" w:history="1">
        <w:r w:rsidR="00963293" w:rsidRPr="007A0BB5">
          <w:rPr>
            <w:rStyle w:val="FootnoteTextChar"/>
          </w:rPr>
          <w:t>https://www.deseret.com/utah/2022/2/8/22923842/misinformation-conspiracy-theories-utah-legislature-united-nations-salt-lake-city-digital-ids</w:t>
        </w:r>
      </w:hyperlink>
      <w:r w:rsidR="00963293" w:rsidRPr="007A0BB5">
        <w:rPr>
          <w:rStyle w:val="FootnoteTextChar"/>
        </w:rPr>
        <w:t>.</w:t>
      </w:r>
    </w:p>
  </w:footnote>
  <w:footnote w:id="66">
    <w:p w14:paraId="714B052D" w14:textId="1FD1E39A" w:rsidR="000A6003" w:rsidRPr="007A0BB5" w:rsidRDefault="009D0F65" w:rsidP="00963293">
      <w:pPr>
        <w:rPr>
          <w:rStyle w:val="FootnoteTextChar"/>
        </w:rPr>
      </w:pPr>
      <w:r w:rsidRPr="007A0BB5">
        <w:rPr>
          <w:sz w:val="18"/>
          <w:szCs w:val="18"/>
          <w:vertAlign w:val="superscript"/>
        </w:rPr>
        <w:footnoteRef/>
      </w:r>
      <w:r w:rsidRPr="007A0BB5">
        <w:rPr>
          <w:sz w:val="18"/>
          <w:szCs w:val="18"/>
        </w:rPr>
        <w:t xml:space="preserve"> </w:t>
      </w:r>
      <w:r w:rsidR="00963293" w:rsidRPr="007A0BB5">
        <w:rPr>
          <w:rStyle w:val="FootnoteTextChar"/>
        </w:rPr>
        <w:t xml:space="preserve">Utah State Legislature. “S.B. 88 Digital Driver License Amendments,” March 4, 2022. </w:t>
      </w:r>
      <w:hyperlink r:id="rId56" w:history="1">
        <w:r w:rsidR="00963293" w:rsidRPr="007A0BB5">
          <w:rPr>
            <w:rStyle w:val="FootnoteTextChar"/>
          </w:rPr>
          <w:t>https://le.utah.gov/~2022/bills/static/SB0088.html</w:t>
        </w:r>
      </w:hyperlink>
      <w:r w:rsidR="00963293" w:rsidRPr="007A0BB5">
        <w:rPr>
          <w:rStyle w:val="FootnoteTextChar"/>
        </w:rPr>
        <w:t>.</w:t>
      </w:r>
    </w:p>
  </w:footnote>
  <w:footnote w:id="67">
    <w:p w14:paraId="396565E0" w14:textId="77777777" w:rsidR="00BC5C1D" w:rsidRPr="007A0BB5" w:rsidRDefault="00BC5C1D">
      <w:pPr>
        <w:rPr>
          <w:rStyle w:val="FootnoteTextChar"/>
        </w:rPr>
      </w:pPr>
      <w:r w:rsidRPr="007A0BB5">
        <w:rPr>
          <w:sz w:val="18"/>
          <w:szCs w:val="18"/>
          <w:vertAlign w:val="superscript"/>
        </w:rPr>
        <w:footnoteRef/>
      </w:r>
      <w:r w:rsidRPr="007A0BB5">
        <w:rPr>
          <w:sz w:val="18"/>
          <w:szCs w:val="18"/>
        </w:rPr>
        <w:t xml:space="preserve"> </w:t>
      </w:r>
      <w:r w:rsidRPr="007A0BB5">
        <w:rPr>
          <w:rStyle w:val="FootnoteTextChar"/>
        </w:rPr>
        <w:t xml:space="preserve">“The European Digital Identity Wallet Architecture and Reference Framework.” </w:t>
      </w:r>
      <w:hyperlink r:id="rId57" w:history="1">
        <w:r w:rsidRPr="007A0BB5">
          <w:rPr>
            <w:rStyle w:val="FootnoteTextChar"/>
          </w:rPr>
          <w:t>https://digital-strategy.ec.europa.eu/en/library/european-digital-identity-wallet-architecture-and-reference-framework</w:t>
        </w:r>
      </w:hyperlink>
      <w:r w:rsidRPr="007A0BB5">
        <w:rPr>
          <w:rStyle w:val="FootnoteTextChar"/>
        </w:rPr>
        <w:t>.</w:t>
      </w:r>
    </w:p>
  </w:footnote>
  <w:footnote w:id="68">
    <w:p w14:paraId="66127EC4" w14:textId="694D2FE3" w:rsidR="000A6003" w:rsidRPr="007A0BB5" w:rsidRDefault="009D0F65" w:rsidP="00AB75E5">
      <w:pPr>
        <w:rPr>
          <w:sz w:val="18"/>
          <w:szCs w:val="18"/>
        </w:rPr>
      </w:pPr>
      <w:r w:rsidRPr="007A0BB5">
        <w:rPr>
          <w:sz w:val="18"/>
          <w:szCs w:val="18"/>
          <w:vertAlign w:val="superscript"/>
        </w:rPr>
        <w:footnoteRef/>
      </w:r>
      <w:r w:rsidRPr="007A0BB5">
        <w:rPr>
          <w:sz w:val="18"/>
          <w:szCs w:val="18"/>
        </w:rPr>
        <w:t xml:space="preserve"> </w:t>
      </w:r>
      <w:r w:rsidR="00AB75E5" w:rsidRPr="007A0BB5">
        <w:rPr>
          <w:rStyle w:val="FootnoteTextChar"/>
        </w:rPr>
        <w:t xml:space="preserve">World Economic Forum. “The Global Risks Report 2019,” January 15, 2019. </w:t>
      </w:r>
      <w:hyperlink r:id="rId58" w:history="1">
        <w:r w:rsidR="00AB75E5" w:rsidRPr="007A0BB5">
          <w:rPr>
            <w:rStyle w:val="FootnoteTextChar"/>
          </w:rPr>
          <w:t>https://www.weforum.org/reports/the-global-risks-report-2019/</w:t>
        </w:r>
      </w:hyperlink>
      <w:r w:rsidR="00AB75E5" w:rsidRPr="007A0BB5">
        <w:rPr>
          <w:rStyle w:val="FootnoteTextChar"/>
        </w:rPr>
        <w:t>.</w:t>
      </w:r>
    </w:p>
  </w:footnote>
  <w:footnote w:id="69">
    <w:p w14:paraId="6E9602F0" w14:textId="7CC81833" w:rsidR="000A6003" w:rsidRPr="00AB75E5" w:rsidRDefault="009D0F65" w:rsidP="00AB75E5">
      <w:r w:rsidRPr="007A0BB5">
        <w:rPr>
          <w:sz w:val="18"/>
          <w:szCs w:val="18"/>
          <w:vertAlign w:val="superscript"/>
        </w:rPr>
        <w:footnoteRef/>
      </w:r>
      <w:r w:rsidRPr="007A0BB5">
        <w:rPr>
          <w:sz w:val="18"/>
          <w:szCs w:val="18"/>
        </w:rPr>
        <w:t xml:space="preserve"> </w:t>
      </w:r>
      <w:r w:rsidR="00AB75E5" w:rsidRPr="007A0BB5">
        <w:rPr>
          <w:rStyle w:val="FootnoteTextChar"/>
        </w:rPr>
        <w:t xml:space="preserve">Doshi, Menaka. “Aadhaar: A Quick Summary Of The Supreme Court Majority Order.” BQ Prime, September 27, 2018. </w:t>
      </w:r>
      <w:hyperlink r:id="rId59" w:history="1">
        <w:r w:rsidR="00AB75E5" w:rsidRPr="007A0BB5">
          <w:rPr>
            <w:rStyle w:val="FootnoteTextChar"/>
          </w:rPr>
          <w:t>https://www.bqprime.com/aadhaar/aadhaar-a-quick-summary-of-the-supreme-court-majority-order</w:t>
        </w:r>
      </w:hyperlink>
      <w:r w:rsidR="00AB75E5" w:rsidRPr="007A0BB5">
        <w:rPr>
          <w:rStyle w:val="FootnoteTextChar"/>
        </w:rPr>
        <w:t>.</w:t>
      </w:r>
    </w:p>
  </w:footnote>
  <w:footnote w:id="70">
    <w:p w14:paraId="0BFB93F2" w14:textId="7FA1A0A2" w:rsidR="000A6003" w:rsidRPr="007A0BB5" w:rsidRDefault="009D0F65" w:rsidP="00823CDD">
      <w:pPr>
        <w:rPr>
          <w:rStyle w:val="FootnoteTextChar"/>
        </w:rPr>
      </w:pPr>
      <w:r w:rsidRPr="007A0BB5">
        <w:rPr>
          <w:sz w:val="18"/>
          <w:szCs w:val="18"/>
          <w:vertAlign w:val="superscript"/>
        </w:rPr>
        <w:footnoteRef/>
      </w:r>
      <w:r w:rsidRPr="007A0BB5">
        <w:rPr>
          <w:sz w:val="18"/>
          <w:szCs w:val="18"/>
        </w:rPr>
        <w:t xml:space="preserve"> </w:t>
      </w:r>
      <w:r w:rsidR="00823CDD" w:rsidRPr="007A0BB5">
        <w:rPr>
          <w:rStyle w:val="FootnoteTextChar"/>
        </w:rPr>
        <w:t xml:space="preserve">Tosques, Lara. “State of Play on Adoption of Digital Identity in Italy 2022.” </w:t>
      </w:r>
      <w:hyperlink r:id="rId60" w:history="1">
        <w:r w:rsidR="00823CDD" w:rsidRPr="007A0BB5">
          <w:rPr>
            <w:rStyle w:val="FootnoteTextChar"/>
          </w:rPr>
          <w:t>Namirial.Com</w:t>
        </w:r>
      </w:hyperlink>
      <w:r w:rsidR="00823CDD" w:rsidRPr="007A0BB5">
        <w:rPr>
          <w:rStyle w:val="FootnoteTextChar"/>
        </w:rPr>
        <w:t xml:space="preserve">, December 1, 2022. </w:t>
      </w:r>
      <w:hyperlink r:id="rId61" w:history="1">
        <w:r w:rsidR="00823CDD" w:rsidRPr="007A0BB5">
          <w:rPr>
            <w:rStyle w:val="FootnoteTextChar"/>
          </w:rPr>
          <w:t>https://www.namirial.com/en/news/digital-identity-state-of-play-italy-end-of-2022/</w:t>
        </w:r>
      </w:hyperlink>
      <w:r w:rsidR="00823CDD" w:rsidRPr="007A0BB5">
        <w:rPr>
          <w:rStyle w:val="FootnoteTextChar"/>
        </w:rPr>
        <w:t>.</w:t>
      </w:r>
    </w:p>
  </w:footnote>
  <w:footnote w:id="71">
    <w:p w14:paraId="13F2D91A" w14:textId="35A0EED0" w:rsidR="000A6003" w:rsidRPr="007A0BB5" w:rsidRDefault="009D0F65">
      <w:pPr>
        <w:rPr>
          <w:sz w:val="18"/>
          <w:szCs w:val="18"/>
        </w:rPr>
      </w:pPr>
      <w:r w:rsidRPr="007A0BB5">
        <w:rPr>
          <w:sz w:val="18"/>
          <w:szCs w:val="18"/>
          <w:vertAlign w:val="superscript"/>
        </w:rPr>
        <w:footnoteRef/>
      </w:r>
      <w:r w:rsidRPr="007A0BB5">
        <w:rPr>
          <w:sz w:val="18"/>
          <w:szCs w:val="18"/>
        </w:rPr>
        <w:t xml:space="preserve"> </w:t>
      </w:r>
      <w:r w:rsidR="007A0BB5" w:rsidRPr="007A0BB5">
        <w:rPr>
          <w:rStyle w:val="FootnoteTextChar"/>
        </w:rPr>
        <w:t xml:space="preserve">Solove, Daniel. “Murky Consent: An Approach to the Fictions of Consent in Privacy Law.” TeachPrivacy, January 23, 2023. </w:t>
      </w:r>
      <w:hyperlink r:id="rId62" w:history="1">
        <w:r w:rsidR="007A0BB5" w:rsidRPr="007A0BB5">
          <w:rPr>
            <w:rStyle w:val="FootnoteTextChar"/>
          </w:rPr>
          <w:t>https://teachprivacy.com/murky-consent-an-approach-to-the-fictions-of-consent-in-privacy-law/</w:t>
        </w:r>
      </w:hyperlink>
      <w:r w:rsidR="007A0BB5" w:rsidRPr="007A0BB5">
        <w:rPr>
          <w:rStyle w:val="FootnoteTextChar"/>
        </w:rPr>
        <w:t>.</w:t>
      </w:r>
    </w:p>
  </w:footnote>
  <w:footnote w:id="72">
    <w:p w14:paraId="7EC0D7AA" w14:textId="5D191C83" w:rsidR="000778E6" w:rsidRPr="00095237" w:rsidRDefault="000778E6">
      <w:pPr>
        <w:pStyle w:val="FootnoteText"/>
        <w:rPr>
          <w:b/>
          <w:bCs/>
          <w:szCs w:val="18"/>
        </w:rPr>
      </w:pPr>
      <w:r>
        <w:rPr>
          <w:rStyle w:val="FootnoteReference"/>
        </w:rPr>
        <w:footnoteRef/>
      </w:r>
      <w:r>
        <w:t xml:space="preserve"> </w:t>
      </w:r>
      <w:r w:rsidRPr="007A0BB5">
        <w:rPr>
          <w:rStyle w:val="FootnoteTextChar"/>
          <w:szCs w:val="18"/>
        </w:rPr>
        <w:t xml:space="preserve">ISO/IEC </w:t>
      </w:r>
      <w:r w:rsidRPr="00095237">
        <w:rPr>
          <w:szCs w:val="18"/>
        </w:rPr>
        <w:t>23220-1:2023. Cards and security devices for personal identification — Building blocks for identity management via mobile devices — Part 1: Generic system architectures of mobile eID systems</w:t>
      </w:r>
      <w:r w:rsidRPr="000778E6">
        <w:rPr>
          <w:rStyle w:val="FootnoteTextChar"/>
          <w:szCs w:val="18"/>
        </w:rPr>
        <w:t>. ISO/IEC JTC 1/SC 17. Geneva, Switzerland: ISO, published February 2023.</w:t>
      </w:r>
      <w:r w:rsidRPr="007A0BB5">
        <w:rPr>
          <w:rStyle w:val="FootnoteTextChar"/>
          <w:szCs w:val="18"/>
        </w:rPr>
        <w:t xml:space="preserve"> </w:t>
      </w:r>
      <w:r w:rsidRPr="000778E6">
        <w:t>https://www.iso.org/standard/74910.html</w:t>
      </w:r>
      <w:r w:rsidRPr="007A0BB5">
        <w:rPr>
          <w:rStyle w:val="FootnoteTextChar"/>
          <w:szCs w:val="18"/>
        </w:rPr>
        <w:t>.</w:t>
      </w:r>
    </w:p>
  </w:footnote>
  <w:footnote w:id="73">
    <w:p w14:paraId="042236D4" w14:textId="77777777" w:rsidR="00F63552" w:rsidRPr="001E02F4" w:rsidRDefault="00F63552" w:rsidP="00F63552">
      <w:pPr>
        <w:rPr>
          <w:sz w:val="18"/>
          <w:szCs w:val="18"/>
        </w:rPr>
      </w:pPr>
      <w:r w:rsidRPr="001E02F4">
        <w:rPr>
          <w:sz w:val="18"/>
          <w:szCs w:val="18"/>
          <w:vertAlign w:val="superscript"/>
        </w:rPr>
        <w:footnoteRef/>
      </w:r>
      <w:r w:rsidRPr="001E02F4">
        <w:rPr>
          <w:sz w:val="18"/>
          <w:szCs w:val="18"/>
        </w:rPr>
        <w:t xml:space="preserve"> </w:t>
      </w:r>
      <w:r w:rsidRPr="001E02F4">
        <w:rPr>
          <w:rStyle w:val="FootnoteTextChar"/>
        </w:rPr>
        <w:t xml:space="preserve">“OpenWallet Foundation – Linux Foundation Project.” Accessed April 1, 2023. </w:t>
      </w:r>
      <w:hyperlink r:id="rId63" w:history="1">
        <w:r w:rsidRPr="001E02F4">
          <w:rPr>
            <w:rStyle w:val="FootnoteTextChar"/>
          </w:rPr>
          <w:t>https://openwallet.foundation/</w:t>
        </w:r>
      </w:hyperlink>
      <w:r w:rsidRPr="001E02F4">
        <w:rPr>
          <w:rStyle w:val="FootnoteTextChar"/>
        </w:rPr>
        <w:t>.</w:t>
      </w:r>
    </w:p>
  </w:footnote>
  <w:footnote w:id="74">
    <w:p w14:paraId="048F4C20" w14:textId="781BB48D" w:rsidR="0079257E" w:rsidRPr="0079257E" w:rsidRDefault="0079257E">
      <w:pPr>
        <w:pStyle w:val="FootnoteText"/>
      </w:pPr>
      <w:r w:rsidRPr="001E02F4">
        <w:rPr>
          <w:rStyle w:val="FootnoteReference"/>
        </w:rPr>
        <w:footnoteRef/>
      </w:r>
      <w:r w:rsidRPr="001E02F4">
        <w:rPr>
          <w:szCs w:val="18"/>
        </w:rPr>
        <w:t xml:space="preserve"> </w:t>
      </w:r>
      <w:r w:rsidRPr="001E02F4">
        <w:t xml:space="preserve">OASIS Security Services (SAML) Technical Committee. “SAML V2.0 Standard.” FrontPage - SAML Wiki, June 26, 2020. </w:t>
      </w:r>
      <w:hyperlink r:id="rId64" w:history="1">
        <w:r w:rsidRPr="001E02F4">
          <w:t>https://wiki.oasis-open.org/security/FrontPage</w:t>
        </w:r>
      </w:hyperlink>
      <w:r w:rsidRPr="001E02F4">
        <w:t>.</w:t>
      </w:r>
    </w:p>
  </w:footnote>
  <w:footnote w:id="75">
    <w:p w14:paraId="1678CEAF" w14:textId="4D4FE78E" w:rsidR="00D958B2" w:rsidRPr="001E02F4" w:rsidRDefault="00D958B2">
      <w:pPr>
        <w:pStyle w:val="FootnoteText"/>
        <w:rPr>
          <w:szCs w:val="18"/>
        </w:rPr>
      </w:pPr>
      <w:r w:rsidRPr="001E02F4">
        <w:rPr>
          <w:rStyle w:val="FootnoteReference"/>
        </w:rPr>
        <w:footnoteRef/>
      </w:r>
      <w:r w:rsidRPr="001E02F4">
        <w:rPr>
          <w:szCs w:val="18"/>
        </w:rPr>
        <w:t xml:space="preserve"> </w:t>
      </w:r>
      <w:r w:rsidRPr="001E02F4">
        <w:t xml:space="preserve">Dingle, Pamela. “Introduction to Identity - Part 2: Access Management.” IDPro Body of Knowledge 1, no. 2. June 18, 2020. </w:t>
      </w:r>
      <w:hyperlink r:id="rId65" w:history="1">
        <w:r w:rsidRPr="001E02F4">
          <w:t>https://doi.org/10.55621/idpro.45</w:t>
        </w:r>
      </w:hyperlink>
      <w:r w:rsidRPr="001E02F4">
        <w:t>.</w:t>
      </w:r>
    </w:p>
  </w:footnote>
  <w:footnote w:id="76">
    <w:p w14:paraId="29E19717" w14:textId="67924E57"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B20777" w:rsidRPr="001E02F4">
        <w:rPr>
          <w:rStyle w:val="FootnoteTextChar"/>
        </w:rPr>
        <w:t xml:space="preserve">IETF. “Web Authorization Protocol (Oauth).” Accessed April 1, 2023. </w:t>
      </w:r>
      <w:hyperlink r:id="rId66" w:history="1">
        <w:r w:rsidR="00B20777" w:rsidRPr="001E02F4">
          <w:rPr>
            <w:rStyle w:val="FootnoteTextChar"/>
          </w:rPr>
          <w:t>https://datatracker.ietf.org/wg/oauth/documents/</w:t>
        </w:r>
      </w:hyperlink>
      <w:r w:rsidR="00B20777" w:rsidRPr="001E02F4">
        <w:rPr>
          <w:rStyle w:val="FootnoteTextChar"/>
        </w:rPr>
        <w:t>.</w:t>
      </w:r>
    </w:p>
  </w:footnote>
  <w:footnote w:id="77">
    <w:p w14:paraId="4E6E241F" w14:textId="10303A8A" w:rsidR="000A6003" w:rsidRPr="001E02F4" w:rsidRDefault="009D0F65" w:rsidP="00E46DAE">
      <w:pPr>
        <w:rPr>
          <w:sz w:val="18"/>
          <w:szCs w:val="18"/>
        </w:rPr>
      </w:pPr>
      <w:r w:rsidRPr="001E02F4">
        <w:rPr>
          <w:sz w:val="18"/>
          <w:szCs w:val="18"/>
          <w:vertAlign w:val="superscript"/>
        </w:rPr>
        <w:footnoteRef/>
      </w:r>
      <w:r w:rsidRPr="001E02F4">
        <w:rPr>
          <w:sz w:val="18"/>
          <w:szCs w:val="18"/>
        </w:rPr>
        <w:t xml:space="preserve"> </w:t>
      </w:r>
      <w:r w:rsidR="00E46DAE" w:rsidRPr="001E02F4">
        <w:rPr>
          <w:rStyle w:val="FootnoteTextChar"/>
        </w:rPr>
        <w:t xml:space="preserve">Richer, Justin. “End User Authentication with OAuth 2.0.” Accessed April 1, 2023. </w:t>
      </w:r>
      <w:hyperlink r:id="rId67" w:history="1">
        <w:r w:rsidR="00E46DAE" w:rsidRPr="001E02F4">
          <w:rPr>
            <w:rStyle w:val="FootnoteTextChar"/>
          </w:rPr>
          <w:t>https://oauth.net/articles/authentication/</w:t>
        </w:r>
      </w:hyperlink>
      <w:r w:rsidR="00E46DAE" w:rsidRPr="001E02F4">
        <w:rPr>
          <w:rStyle w:val="FootnoteTextChar"/>
        </w:rPr>
        <w:t>.</w:t>
      </w:r>
    </w:p>
  </w:footnote>
  <w:footnote w:id="78">
    <w:p w14:paraId="726CA023" w14:textId="23DA8729" w:rsidR="000A6003" w:rsidRPr="001E02F4" w:rsidRDefault="009D0F65" w:rsidP="00E46DAE">
      <w:pPr>
        <w:rPr>
          <w:sz w:val="18"/>
          <w:szCs w:val="18"/>
        </w:rPr>
      </w:pPr>
      <w:r w:rsidRPr="001E02F4">
        <w:rPr>
          <w:sz w:val="18"/>
          <w:szCs w:val="18"/>
          <w:vertAlign w:val="superscript"/>
        </w:rPr>
        <w:footnoteRef/>
      </w:r>
      <w:r w:rsidRPr="001E02F4">
        <w:rPr>
          <w:sz w:val="18"/>
          <w:szCs w:val="18"/>
        </w:rPr>
        <w:t xml:space="preserve"> </w:t>
      </w:r>
      <w:r w:rsidR="00E46DAE" w:rsidRPr="001E02F4">
        <w:rPr>
          <w:sz w:val="18"/>
          <w:szCs w:val="18"/>
        </w:rPr>
        <w:t>"</w:t>
      </w:r>
      <w:r w:rsidR="00E46DAE" w:rsidRPr="001E02F4">
        <w:rPr>
          <w:rStyle w:val="FootnoteTextChar"/>
        </w:rPr>
        <w:t xml:space="preserve">OpenID Foundation Website.” OpenID Foundation homepage. Accessed April 1, 2023. </w:t>
      </w:r>
      <w:hyperlink r:id="rId68" w:history="1">
        <w:r w:rsidR="00E46DAE" w:rsidRPr="001E02F4">
          <w:rPr>
            <w:rStyle w:val="FootnoteTextChar"/>
          </w:rPr>
          <w:t>https://openid.net/</w:t>
        </w:r>
      </w:hyperlink>
      <w:r w:rsidR="00E46DAE" w:rsidRPr="001E02F4">
        <w:rPr>
          <w:rStyle w:val="FootnoteTextChar"/>
        </w:rPr>
        <w:t>.</w:t>
      </w:r>
    </w:p>
  </w:footnote>
  <w:footnote w:id="79">
    <w:p w14:paraId="4C48479D" w14:textId="68414780" w:rsidR="000A6003" w:rsidRPr="00E46DAE" w:rsidRDefault="009D0F65" w:rsidP="00E46DAE">
      <w:pPr>
        <w:rPr>
          <w:sz w:val="20"/>
          <w:szCs w:val="20"/>
        </w:rPr>
      </w:pPr>
      <w:r w:rsidRPr="001E02F4">
        <w:rPr>
          <w:sz w:val="18"/>
          <w:szCs w:val="18"/>
          <w:vertAlign w:val="superscript"/>
        </w:rPr>
        <w:footnoteRef/>
      </w:r>
      <w:r w:rsidRPr="001E02F4">
        <w:rPr>
          <w:sz w:val="18"/>
          <w:szCs w:val="18"/>
        </w:rPr>
        <w:t xml:space="preserve"> </w:t>
      </w:r>
      <w:r w:rsidR="00E46DAE" w:rsidRPr="001E02F4">
        <w:rPr>
          <w:rStyle w:val="FootnoteTextChar"/>
        </w:rPr>
        <w:t xml:space="preserve">Sakimura, Nat, J. Bradley, M. Jones, B. De Medeiros, and C. Mortimore. “OpenID Connect Core 1.0 Incorporating Errata Set 1,” November 8, 2014. </w:t>
      </w:r>
      <w:hyperlink r:id="rId69" w:history="1">
        <w:r w:rsidR="00E46DAE" w:rsidRPr="001E02F4">
          <w:rPr>
            <w:rStyle w:val="FootnoteTextChar"/>
          </w:rPr>
          <w:t>https://openid.net/specs/openid-connect-core-1_0.html</w:t>
        </w:r>
      </w:hyperlink>
      <w:r w:rsidR="00E46DAE" w:rsidRPr="001E02F4">
        <w:rPr>
          <w:rStyle w:val="FootnoteTextChar"/>
        </w:rPr>
        <w:t>.</w:t>
      </w:r>
    </w:p>
  </w:footnote>
  <w:footnote w:id="80">
    <w:p w14:paraId="249BD837" w14:textId="44A20879" w:rsidR="00E46DAE" w:rsidRPr="001E02F4" w:rsidRDefault="00E46DAE" w:rsidP="00E46DAE">
      <w:pPr>
        <w:rPr>
          <w:sz w:val="18"/>
          <w:szCs w:val="18"/>
        </w:rPr>
      </w:pPr>
      <w:r w:rsidRPr="001E02F4">
        <w:rPr>
          <w:rStyle w:val="FootnoteReference"/>
        </w:rPr>
        <w:footnoteRef/>
      </w:r>
      <w:r w:rsidRPr="001E02F4">
        <w:rPr>
          <w:sz w:val="18"/>
          <w:szCs w:val="18"/>
        </w:rPr>
        <w:t xml:space="preserve"> </w:t>
      </w:r>
      <w:r w:rsidRPr="001E02F4">
        <w:rPr>
          <w:rStyle w:val="FootnoteTextChar"/>
        </w:rPr>
        <w:t xml:space="preserve">OpenID Connect Working Group. “OpenID for Verifiable Credentials” OpenID Foundation. Accessed April 1, 2023. </w:t>
      </w:r>
      <w:hyperlink r:id="rId70" w:history="1">
        <w:r w:rsidRPr="001E02F4">
          <w:rPr>
            <w:rStyle w:val="FootnoteTextChar"/>
          </w:rPr>
          <w:t>https://openid.net/openid4vc/</w:t>
        </w:r>
      </w:hyperlink>
      <w:r w:rsidRPr="001E02F4">
        <w:rPr>
          <w:rStyle w:val="FootnoteTextChar"/>
        </w:rPr>
        <w:t>.</w:t>
      </w:r>
    </w:p>
  </w:footnote>
  <w:footnote w:id="81">
    <w:p w14:paraId="0BF03744" w14:textId="04BBC473" w:rsidR="000A6003" w:rsidRPr="003E61A7" w:rsidRDefault="009D0F65" w:rsidP="0023682C">
      <w:pPr>
        <w:rPr>
          <w:sz w:val="18"/>
          <w:szCs w:val="20"/>
        </w:rPr>
      </w:pPr>
      <w:r w:rsidRPr="001E02F4">
        <w:rPr>
          <w:sz w:val="18"/>
          <w:szCs w:val="18"/>
          <w:vertAlign w:val="superscript"/>
        </w:rPr>
        <w:footnoteRef/>
      </w:r>
      <w:r w:rsidRPr="001E02F4">
        <w:rPr>
          <w:sz w:val="18"/>
          <w:szCs w:val="18"/>
        </w:rPr>
        <w:t xml:space="preserve"> </w:t>
      </w:r>
      <w:r w:rsidR="00E51D95">
        <w:rPr>
          <w:sz w:val="18"/>
          <w:szCs w:val="20"/>
        </w:rPr>
        <w:t xml:space="preserve">Sporny, Manu, Dave Longley, and David Chadwick. </w:t>
      </w:r>
      <w:r w:rsidR="00E51D95" w:rsidRPr="00E51D95">
        <w:rPr>
          <w:rFonts w:cs="Open Sans"/>
          <w:sz w:val="18"/>
          <w:szCs w:val="20"/>
        </w:rPr>
        <w:t xml:space="preserve">“Verifiable Credentials Data Model v1.1,” </w:t>
      </w:r>
      <w:r w:rsidR="00E51D95">
        <w:rPr>
          <w:sz w:val="18"/>
          <w:szCs w:val="20"/>
        </w:rPr>
        <w:t xml:space="preserve">W3C Recommendation. </w:t>
      </w:r>
      <w:r w:rsidR="00E51D95" w:rsidRPr="00E51D95">
        <w:rPr>
          <w:rFonts w:cs="Open Sans"/>
          <w:sz w:val="18"/>
          <w:szCs w:val="20"/>
        </w:rPr>
        <w:t>March 3, 2022. https://www.w3.org/TR/2022/REC-vc-data-model-20220303/.</w:t>
      </w:r>
    </w:p>
  </w:footnote>
  <w:footnote w:id="82">
    <w:p w14:paraId="1984EE64" w14:textId="5A1B3EE0" w:rsidR="000A6003" w:rsidRPr="0023682C" w:rsidRDefault="009D0F65" w:rsidP="0023682C">
      <w:pPr>
        <w:rPr>
          <w:sz w:val="20"/>
          <w:szCs w:val="20"/>
        </w:rPr>
      </w:pPr>
      <w:r w:rsidRPr="001E02F4">
        <w:rPr>
          <w:sz w:val="18"/>
          <w:szCs w:val="18"/>
          <w:vertAlign w:val="superscript"/>
        </w:rPr>
        <w:footnoteRef/>
      </w:r>
      <w:r w:rsidRPr="001E02F4">
        <w:rPr>
          <w:sz w:val="18"/>
          <w:szCs w:val="18"/>
        </w:rPr>
        <w:t xml:space="preserve"> </w:t>
      </w:r>
      <w:r w:rsidR="0023682C" w:rsidRPr="001E02F4">
        <w:rPr>
          <w:rStyle w:val="FootnoteTextChar"/>
        </w:rPr>
        <w:t xml:space="preserve">Sporny, Manu, Dave Longley, and David Chadwick. “Verifiable Credentials Data Model v1.1,” March 3, 2022. </w:t>
      </w:r>
      <w:hyperlink r:id="rId71" w:history="1">
        <w:r w:rsidR="0023682C" w:rsidRPr="001E02F4">
          <w:rPr>
            <w:rStyle w:val="FootnoteTextChar"/>
          </w:rPr>
          <w:t>https://www.w3.org/TR/vc-data-model</w:t>
        </w:r>
      </w:hyperlink>
      <w:r w:rsidR="0023682C" w:rsidRPr="001E02F4">
        <w:rPr>
          <w:rStyle w:val="FootnoteTextChar"/>
        </w:rPr>
        <w:t>. See Section 7. Privacy Considerations</w:t>
      </w:r>
    </w:p>
  </w:footnote>
  <w:footnote w:id="83">
    <w:p w14:paraId="1BBA3F22" w14:textId="79BED2D9" w:rsidR="000A6003" w:rsidRPr="001E02F4" w:rsidRDefault="009D0F65" w:rsidP="0023682C">
      <w:pPr>
        <w:rPr>
          <w:sz w:val="18"/>
          <w:szCs w:val="18"/>
        </w:rPr>
      </w:pPr>
      <w:r w:rsidRPr="001E02F4">
        <w:rPr>
          <w:sz w:val="18"/>
          <w:szCs w:val="18"/>
          <w:vertAlign w:val="superscript"/>
        </w:rPr>
        <w:footnoteRef/>
      </w:r>
      <w:r w:rsidRPr="001E02F4">
        <w:rPr>
          <w:sz w:val="18"/>
          <w:szCs w:val="18"/>
        </w:rPr>
        <w:t xml:space="preserve"> </w:t>
      </w:r>
      <w:r w:rsidR="0023682C" w:rsidRPr="001E02F4">
        <w:rPr>
          <w:rStyle w:val="FootnoteTextChar"/>
        </w:rPr>
        <w:t xml:space="preserve">European Commission European Blockchain Services Infrastructure. “Success Stories.” Accessed April 1, 2023. </w:t>
      </w:r>
      <w:hyperlink r:id="rId72" w:history="1">
        <w:r w:rsidR="0023682C" w:rsidRPr="001E02F4">
          <w:rPr>
            <w:rStyle w:val="FootnoteTextChar"/>
          </w:rPr>
          <w:t>https://ec.europa.eu/digital-building-blocks/wikis/display/EBSI/Verifiable+Credentials+Success+Stories</w:t>
        </w:r>
      </w:hyperlink>
      <w:r w:rsidR="0023682C" w:rsidRPr="001E02F4">
        <w:rPr>
          <w:rStyle w:val="FootnoteTextChar"/>
        </w:rPr>
        <w:t>.</w:t>
      </w:r>
    </w:p>
  </w:footnote>
  <w:footnote w:id="84">
    <w:p w14:paraId="2302E8EC" w14:textId="77777777" w:rsidR="00DF362A" w:rsidRDefault="00DF362A"/>
    <w:p w14:paraId="124FC44D" w14:textId="77777777" w:rsidR="00FC115B" w:rsidRDefault="00FC115B" w:rsidP="00FC115B"/>
  </w:footnote>
  <w:footnote w:id="85">
    <w:p w14:paraId="192A8049" w14:textId="77777777" w:rsidR="00FC115B" w:rsidRPr="001E02F4" w:rsidRDefault="00FC115B" w:rsidP="00FC115B">
      <w:pPr>
        <w:rPr>
          <w:sz w:val="18"/>
          <w:szCs w:val="18"/>
        </w:rPr>
      </w:pPr>
      <w:r w:rsidRPr="001E02F4">
        <w:rPr>
          <w:sz w:val="18"/>
          <w:szCs w:val="18"/>
          <w:vertAlign w:val="superscript"/>
        </w:rPr>
        <w:footnoteRef/>
      </w:r>
      <w:r w:rsidRPr="001E02F4">
        <w:rPr>
          <w:sz w:val="18"/>
          <w:szCs w:val="18"/>
        </w:rPr>
        <w:t xml:space="preserve"> </w:t>
      </w:r>
      <w:r w:rsidRPr="001E02F4">
        <w:rPr>
          <w:rStyle w:val="FootnoteTextChar"/>
        </w:rPr>
        <w:t xml:space="preserve">ISO/IEC 29100:201. </w:t>
      </w:r>
      <w:hyperlink r:id="rId73" w:history="1">
        <w:r w:rsidRPr="001E02F4">
          <w:rPr>
            <w:rStyle w:val="FootnoteTextChar"/>
          </w:rPr>
          <w:t>https://www.iso.org/standard/45123.html</w:t>
        </w:r>
      </w:hyperlink>
      <w:r w:rsidRPr="001E02F4">
        <w:rPr>
          <w:rStyle w:val="FootnoteTextChar"/>
        </w:rPr>
        <w:t>.</w:t>
      </w:r>
    </w:p>
  </w:footnote>
  <w:footnote w:id="86">
    <w:p w14:paraId="0E8840D9" w14:textId="77777777" w:rsidR="00FC115B" w:rsidRPr="0023682C" w:rsidRDefault="00FC115B" w:rsidP="00FC115B">
      <w:r w:rsidRPr="001E02F4">
        <w:rPr>
          <w:sz w:val="18"/>
          <w:szCs w:val="18"/>
          <w:vertAlign w:val="superscript"/>
        </w:rPr>
        <w:footnoteRef/>
      </w:r>
      <w:r w:rsidRPr="001E02F4">
        <w:rPr>
          <w:sz w:val="18"/>
          <w:szCs w:val="18"/>
        </w:rPr>
        <w:t xml:space="preserve"> </w:t>
      </w:r>
      <w:r w:rsidRPr="001E02F4">
        <w:rPr>
          <w:rStyle w:val="FootnoteTextChar"/>
        </w:rPr>
        <w:t xml:space="preserve">Kelts, David. “Successful Adoption of Mobile ID Hinges Largely on Protection of Citizen Privacy.” International Association of Privacy Professionals, March 1, 2022. </w:t>
      </w:r>
      <w:hyperlink r:id="rId74" w:history="1">
        <w:r w:rsidRPr="001E02F4">
          <w:rPr>
            <w:rStyle w:val="FootnoteTextChar"/>
          </w:rPr>
          <w:t>https://iapp.org/news/a/successful-adoption-of-mobile-id-hinges-largely-on-protection-of-citizen-privacy/</w:t>
        </w:r>
      </w:hyperlink>
      <w:r w:rsidRPr="001E02F4">
        <w:rPr>
          <w:rStyle w:val="FootnoteTextChar"/>
        </w:rPr>
        <w:t>.</w:t>
      </w:r>
    </w:p>
  </w:footnote>
  <w:footnote w:id="87">
    <w:p w14:paraId="749F0CEC" w14:textId="338F4A32" w:rsidR="00566AF6" w:rsidRPr="001E02F4" w:rsidRDefault="00566AF6">
      <w:pPr>
        <w:pStyle w:val="FootnoteText"/>
        <w:rPr>
          <w:szCs w:val="18"/>
        </w:rPr>
      </w:pPr>
      <w:r w:rsidRPr="001E02F4">
        <w:rPr>
          <w:rStyle w:val="FootnoteReference"/>
        </w:rPr>
        <w:footnoteRef/>
      </w:r>
      <w:r w:rsidRPr="001E02F4">
        <w:rPr>
          <w:szCs w:val="18"/>
        </w:rPr>
        <w:t xml:space="preserve"> Note that the list of interesting standards in this space is growing; this is just a sample.</w:t>
      </w:r>
    </w:p>
  </w:footnote>
  <w:footnote w:id="88">
    <w:p w14:paraId="03E683B8" w14:textId="77777777" w:rsidR="00BC001A" w:rsidRPr="001E02F4" w:rsidRDefault="00BC001A" w:rsidP="00BC001A">
      <w:pPr>
        <w:rPr>
          <w:sz w:val="18"/>
          <w:szCs w:val="18"/>
        </w:rPr>
      </w:pPr>
      <w:r w:rsidRPr="001E02F4">
        <w:rPr>
          <w:rStyle w:val="FootnoteReference"/>
        </w:rPr>
        <w:footnoteRef/>
      </w:r>
      <w:r w:rsidRPr="001E02F4">
        <w:rPr>
          <w:sz w:val="18"/>
          <w:szCs w:val="18"/>
        </w:rPr>
        <w:t xml:space="preserve"> </w:t>
      </w:r>
      <w:r w:rsidRPr="001E02F4">
        <w:rPr>
          <w:rStyle w:val="FootnoteTextChar"/>
        </w:rPr>
        <w:t xml:space="preserve">ISO/IEC 27553-1:2022 Information security, </w:t>
      </w:r>
      <w:proofErr w:type="gramStart"/>
      <w:r w:rsidRPr="001E02F4">
        <w:rPr>
          <w:rStyle w:val="FootnoteTextChar"/>
        </w:rPr>
        <w:t>cybersecurity</w:t>
      </w:r>
      <w:proofErr w:type="gramEnd"/>
      <w:r w:rsidRPr="001E02F4">
        <w:rPr>
          <w:rStyle w:val="FootnoteTextChar"/>
        </w:rPr>
        <w:t xml:space="preserve"> and privacy protection — Security and privacy requirements for authentication using biometrics on mobile devices — Part 1: Local modes. ISO/IEC JTC 1/SC 27. Geneva, Switzerland: ISO, published November 2022. </w:t>
      </w:r>
      <w:hyperlink r:id="rId75" w:history="1">
        <w:r w:rsidRPr="001E02F4">
          <w:rPr>
            <w:rStyle w:val="FootnoteTextChar"/>
          </w:rPr>
          <w:t>https://www.iso.org/standard/71671.html</w:t>
        </w:r>
      </w:hyperlink>
      <w:r w:rsidRPr="001E02F4">
        <w:rPr>
          <w:rStyle w:val="FootnoteTextChar"/>
        </w:rPr>
        <w:t xml:space="preserve">. </w:t>
      </w:r>
    </w:p>
  </w:footnote>
  <w:footnote w:id="89">
    <w:p w14:paraId="3D57D6BA" w14:textId="77777777" w:rsidR="00BC001A" w:rsidRPr="0090761F" w:rsidRDefault="00BC001A" w:rsidP="00BC001A">
      <w:pPr>
        <w:rPr>
          <w:sz w:val="20"/>
          <w:szCs w:val="20"/>
        </w:rPr>
      </w:pPr>
      <w:r w:rsidRPr="001E02F4">
        <w:rPr>
          <w:rStyle w:val="FootnoteReference"/>
        </w:rPr>
        <w:footnoteRef/>
      </w:r>
      <w:r w:rsidRPr="001E02F4">
        <w:rPr>
          <w:sz w:val="18"/>
          <w:szCs w:val="18"/>
        </w:rPr>
        <w:t xml:space="preserve"> </w:t>
      </w:r>
      <w:r w:rsidRPr="001E02F4">
        <w:rPr>
          <w:rStyle w:val="FootnoteTextChar"/>
        </w:rPr>
        <w:t xml:space="preserve">ISO/IEC WD 27553-2 Information security, cybersecurity and privacy protection — Security and privacy requirements for authentication using biometrics on mobile devices — Part 2: Remote modes. ISO/IEC JTC 1/SC 27. Under development. </w:t>
      </w:r>
      <w:hyperlink r:id="rId76" w:history="1">
        <w:r w:rsidRPr="001E02F4">
          <w:rPr>
            <w:rStyle w:val="FootnoteTextChar"/>
          </w:rPr>
          <w:t>https://www.iso.org/standard/71670.html.</w:t>
        </w:r>
      </w:hyperlink>
    </w:p>
  </w:footnote>
  <w:footnote w:id="90">
    <w:p w14:paraId="449FADB8" w14:textId="513DD653" w:rsidR="004F61DD" w:rsidRDefault="004F61DD">
      <w:pPr>
        <w:pStyle w:val="FootnoteText"/>
      </w:pPr>
      <w:r>
        <w:rPr>
          <w:rStyle w:val="FootnoteReference"/>
        </w:rPr>
        <w:footnoteRef/>
      </w:r>
      <w:r>
        <w:t xml:space="preserve"> </w:t>
      </w:r>
      <w:r w:rsidR="008F18AC" w:rsidRPr="008F18AC">
        <w:t xml:space="preserve">ISO/IEC 30107-1:2016 Information technology — Biometric presentation attack detection — Part 1: Framework. ISO/IEC JTC 1/SC 37. Geneva, Switzerland: ISO, January 2016. </w:t>
      </w:r>
      <w:hyperlink r:id="rId77" w:history="1">
        <w:r w:rsidR="008F18AC" w:rsidRPr="00D3060D">
          <w:rPr>
            <w:rStyle w:val="Hyperlink"/>
          </w:rPr>
          <w:t>https://www.iso.org/standard/53227.html</w:t>
        </w:r>
      </w:hyperlink>
      <w:r w:rsidR="008F18AC">
        <w:t xml:space="preserve"> and </w:t>
      </w:r>
      <w:r w:rsidR="008F18AC" w:rsidRPr="008F18AC">
        <w:t xml:space="preserve">ISO/IEC 19795-1:2021 Information technology — Biometric performance testing and reporting — Part 1: Principles and framework. ISO/IEC JTC 1/SC 37. Geneva, Switzerland: ISO, May 2021. https://www.iso.org/standard/73515.html. </w:t>
      </w:r>
    </w:p>
  </w:footnote>
  <w:footnote w:id="91">
    <w:p w14:paraId="79E4CD28" w14:textId="663A00A8" w:rsidR="000A6003" w:rsidRPr="005D014A" w:rsidRDefault="009D0F65">
      <w:pPr>
        <w:rPr>
          <w:sz w:val="20"/>
          <w:szCs w:val="20"/>
        </w:rPr>
      </w:pPr>
      <w:r w:rsidRPr="001E02F4">
        <w:rPr>
          <w:sz w:val="18"/>
          <w:szCs w:val="18"/>
          <w:vertAlign w:val="superscript"/>
        </w:rPr>
        <w:footnoteRef/>
      </w:r>
      <w:r w:rsidRPr="001E02F4">
        <w:rPr>
          <w:sz w:val="18"/>
          <w:szCs w:val="18"/>
        </w:rPr>
        <w:t xml:space="preserve"> </w:t>
      </w:r>
      <w:r w:rsidR="00A44D86" w:rsidRPr="001E02F4">
        <w:rPr>
          <w:rStyle w:val="FootnoteTextChar"/>
        </w:rPr>
        <w:t xml:space="preserve">Grassi, Paul, Justin Richer, Sarah Squire, James Fenton, Ellen Nadeau, Naomi Lefkovitz, Jamie Danker, Yee-Yin Choong, Kristen Greene, and Mary Theofanos. “Digital Identity Guidelines Federation and Assertions: Federation and Assertions.” National Institute of Standards and Technology, U.S. Department of Commerce, June 2017. </w:t>
      </w:r>
      <w:hyperlink r:id="rId78" w:history="1">
        <w:r w:rsidR="00A44D86" w:rsidRPr="001E02F4">
          <w:rPr>
            <w:rStyle w:val="FootnoteTextChar"/>
          </w:rPr>
          <w:t>https://doi.org/10.6028/NIST.SP.800-63c</w:t>
        </w:r>
      </w:hyperlink>
      <w:r w:rsidR="00A44D86" w:rsidRPr="001E02F4">
        <w:rPr>
          <w:rStyle w:val="FootnoteTextChar"/>
        </w:rPr>
        <w:t>. See S</w:t>
      </w:r>
      <w:r w:rsidRPr="001E02F4">
        <w:rPr>
          <w:rStyle w:val="FootnoteTextChar"/>
        </w:rPr>
        <w:t>ection 1</w:t>
      </w:r>
      <w:r w:rsidR="005D014A" w:rsidRPr="001E02F4">
        <w:rPr>
          <w:rStyle w:val="FootnoteTextChar"/>
        </w:rPr>
        <w:t xml:space="preserve"> Purpose.</w:t>
      </w:r>
    </w:p>
  </w:footnote>
  <w:footnote w:id="92">
    <w:p w14:paraId="599F6899" w14:textId="735F7A5C" w:rsidR="000A6003" w:rsidRPr="001E02F4" w:rsidRDefault="009D0F65" w:rsidP="005D014A">
      <w:pPr>
        <w:rPr>
          <w:sz w:val="18"/>
          <w:szCs w:val="18"/>
        </w:rPr>
      </w:pPr>
      <w:r w:rsidRPr="001E02F4">
        <w:rPr>
          <w:sz w:val="18"/>
          <w:szCs w:val="18"/>
          <w:vertAlign w:val="superscript"/>
        </w:rPr>
        <w:footnoteRef/>
      </w:r>
      <w:r w:rsidRPr="001E02F4">
        <w:rPr>
          <w:sz w:val="18"/>
          <w:szCs w:val="18"/>
        </w:rPr>
        <w:t xml:space="preserve"> </w:t>
      </w:r>
      <w:r w:rsidR="005D014A" w:rsidRPr="001E02F4">
        <w:rPr>
          <w:rStyle w:val="FootnoteTextChar"/>
        </w:rPr>
        <w:t xml:space="preserve">Grassi, Paul, Michael Garcia, and James Fenton. “Digital Identity Guidelines.” National Institute of Standards and Technology, U.S. Department of Commerce, June 2017. </w:t>
      </w:r>
      <w:hyperlink r:id="rId79" w:history="1">
        <w:r w:rsidR="005D014A" w:rsidRPr="001E02F4">
          <w:rPr>
            <w:rStyle w:val="FootnoteTextChar"/>
          </w:rPr>
          <w:t>https://doi.org/10.6028/NIST.SP.800-63-3</w:t>
        </w:r>
      </w:hyperlink>
      <w:r w:rsidR="005D014A" w:rsidRPr="001E02F4">
        <w:rPr>
          <w:rStyle w:val="FootnoteTextChar"/>
        </w:rPr>
        <w:t>. See the Executive Summary.</w:t>
      </w:r>
    </w:p>
  </w:footnote>
  <w:footnote w:id="93">
    <w:p w14:paraId="7D4A82EC" w14:textId="652F8831" w:rsidR="00DF362A" w:rsidRPr="00095237" w:rsidRDefault="00DF362A">
      <w:pPr>
        <w:pStyle w:val="FootnoteText"/>
        <w:rPr>
          <w:i/>
          <w:iCs/>
        </w:rPr>
      </w:pPr>
      <w:r>
        <w:rPr>
          <w:rStyle w:val="FootnoteReference"/>
        </w:rPr>
        <w:footnoteRef/>
      </w:r>
      <w:r>
        <w:t xml:space="preserve"> </w:t>
      </w:r>
      <w:r w:rsidRPr="00DF362A">
        <w:t xml:space="preserve">“Face Recognition Vendor Test (FRVT) | NIST.” </w:t>
      </w:r>
      <w:r w:rsidRPr="00DF362A">
        <w:rPr>
          <w:i/>
          <w:iCs/>
        </w:rPr>
        <w:t>National Institute of Standards and Technology, U.S. Department of Commerce</w:t>
      </w:r>
      <w:r w:rsidRPr="00DF362A">
        <w:t>, November 30, 2020. https://www.nist.gov/programs-projects/face-recognition-vendor-test-frvt.</w:t>
      </w:r>
    </w:p>
  </w:footnote>
  <w:footnote w:id="94">
    <w:p w14:paraId="768C261A" w14:textId="17336F81" w:rsidR="00FE3B0C" w:rsidRPr="001E02F4" w:rsidRDefault="00FE3B0C" w:rsidP="00FE3B0C">
      <w:pPr>
        <w:rPr>
          <w:sz w:val="18"/>
          <w:szCs w:val="18"/>
        </w:rPr>
      </w:pPr>
      <w:r w:rsidRPr="001E02F4">
        <w:rPr>
          <w:rStyle w:val="FootnoteReference"/>
        </w:rPr>
        <w:footnoteRef/>
      </w:r>
      <w:r w:rsidRPr="001E02F4">
        <w:rPr>
          <w:sz w:val="18"/>
          <w:szCs w:val="18"/>
        </w:rPr>
        <w:t xml:space="preserve"> </w:t>
      </w:r>
      <w:r w:rsidRPr="001E02F4">
        <w:rPr>
          <w:rStyle w:val="FootnoteTextChar"/>
        </w:rPr>
        <w:t xml:space="preserve">Grassi, Paul, James Fenton, Naomi Lefkovitz, Jamie Danker, Yee-Yin Choong, Kristen Greene, and Mary Theofanos. “Digital Identity Guidelines: Enrollment and Identity Proofing Requirements.” National Institute of Standards and Technology, U.S. Department of Commerce, June 2017. </w:t>
      </w:r>
      <w:hyperlink r:id="rId80" w:history="1">
        <w:r w:rsidRPr="001E02F4">
          <w:rPr>
            <w:rStyle w:val="FootnoteTextChar"/>
          </w:rPr>
          <w:t>https://doi.org/10.6028/NIST.SP.800-63a</w:t>
        </w:r>
      </w:hyperlink>
      <w:r w:rsidRPr="001E02F4">
        <w:rPr>
          <w:rStyle w:val="FootnoteTextChar"/>
        </w:rPr>
        <w:t>.</w:t>
      </w:r>
    </w:p>
  </w:footnote>
  <w:footnote w:id="95">
    <w:p w14:paraId="37580D57" w14:textId="28020DF7" w:rsidR="0020782E" w:rsidRPr="00FF262A" w:rsidRDefault="0020782E" w:rsidP="0020782E">
      <w:pPr>
        <w:rPr>
          <w:sz w:val="20"/>
          <w:szCs w:val="20"/>
        </w:rPr>
      </w:pPr>
      <w:r w:rsidRPr="001E02F4">
        <w:rPr>
          <w:rStyle w:val="FootnoteReference"/>
        </w:rPr>
        <w:footnoteRef/>
      </w:r>
      <w:r w:rsidRPr="001E02F4">
        <w:rPr>
          <w:sz w:val="18"/>
          <w:szCs w:val="18"/>
        </w:rPr>
        <w:t xml:space="preserve"> K</w:t>
      </w:r>
      <w:r w:rsidRPr="001E02F4">
        <w:rPr>
          <w:rStyle w:val="FootnoteTextChar"/>
        </w:rPr>
        <w:t xml:space="preserve">antara Initiative Leadership Council. “Identity Assurance Framework.” Accessed April 1, 2023. </w:t>
      </w:r>
      <w:hyperlink r:id="rId81" w:history="1">
        <w:r w:rsidRPr="001E02F4">
          <w:rPr>
            <w:rStyle w:val="FootnoteTextChar"/>
          </w:rPr>
          <w:t>https://kantara.atlassian.net/wiki/spaces/LC/pages/1737392/Identity+Assurance+Framework</w:t>
        </w:r>
      </w:hyperlink>
      <w:r w:rsidRPr="001E02F4">
        <w:rPr>
          <w:rStyle w:val="FootnoteTextChar"/>
        </w:rPr>
        <w:t>.</w:t>
      </w:r>
    </w:p>
  </w:footnote>
  <w:footnote w:id="96">
    <w:p w14:paraId="21B817B9" w14:textId="304DCDE5" w:rsidR="00FF262A" w:rsidRPr="001E02F4" w:rsidRDefault="00FF262A" w:rsidP="00FF262A">
      <w:pPr>
        <w:rPr>
          <w:rStyle w:val="FootnoteTextChar"/>
        </w:rPr>
      </w:pPr>
      <w:r w:rsidRPr="001E02F4">
        <w:rPr>
          <w:rStyle w:val="FootnoteReference"/>
        </w:rPr>
        <w:footnoteRef/>
      </w:r>
      <w:r w:rsidRPr="001E02F4">
        <w:rPr>
          <w:rStyle w:val="FootnoteTextChar"/>
        </w:rPr>
        <w:t xml:space="preserve"> Lodderstedt, Torsten, D. Fett, M. Haine, K. Lehmann, A. Pulido, and K. Koiwai. “OpenID Connect for Identity Assurance 1.0,” August 19, 2022. </w:t>
      </w:r>
      <w:hyperlink r:id="rId82" w:history="1">
        <w:r w:rsidRPr="001E02F4">
          <w:rPr>
            <w:rStyle w:val="FootnoteTextChar"/>
          </w:rPr>
          <w:t>https://openid.net/specs/openid-connect-4-identity-assurance-1_0.html</w:t>
        </w:r>
      </w:hyperlink>
      <w:r w:rsidRPr="001E02F4">
        <w:rPr>
          <w:rStyle w:val="FootnoteTextChar"/>
        </w:rPr>
        <w:t>.</w:t>
      </w:r>
    </w:p>
  </w:footnote>
  <w:footnote w:id="97">
    <w:p w14:paraId="0EAAEA6B" w14:textId="5227C5FF" w:rsidR="00987E3D" w:rsidRPr="00987E3D" w:rsidRDefault="00987E3D" w:rsidP="00987E3D">
      <w:pPr>
        <w:rPr>
          <w:sz w:val="20"/>
          <w:szCs w:val="20"/>
        </w:rPr>
      </w:pPr>
      <w:r w:rsidRPr="001E02F4">
        <w:rPr>
          <w:rStyle w:val="FootnoteReference"/>
        </w:rPr>
        <w:footnoteRef/>
      </w:r>
      <w:r w:rsidRPr="001E02F4">
        <w:rPr>
          <w:sz w:val="18"/>
          <w:szCs w:val="18"/>
        </w:rPr>
        <w:t xml:space="preserve"> </w:t>
      </w:r>
      <w:r w:rsidRPr="001E02F4">
        <w:rPr>
          <w:rStyle w:val="FootnoteTextChar"/>
        </w:rPr>
        <w:t xml:space="preserve">Sharif, Amir, Matteo Ranzi, Roberto Carbone, Giada Sciarretta, Francesco Antonio Marino, and Silvio Ranise. “The EIDAS Regulation: A Survey of Technological Trends for European Electronic Identity Schemes.” Applied Sciences 12, no. 24 (December 10, 2022): 12679. </w:t>
      </w:r>
      <w:hyperlink r:id="rId83" w:history="1">
        <w:r w:rsidRPr="001E02F4">
          <w:rPr>
            <w:rStyle w:val="FootnoteTextChar"/>
          </w:rPr>
          <w:t>https://doi.org/10.3390/app122412679</w:t>
        </w:r>
      </w:hyperlink>
      <w:r w:rsidRPr="001E02F4">
        <w:rPr>
          <w:rStyle w:val="FootnoteTextChar"/>
        </w:rPr>
        <w:t>.</w:t>
      </w:r>
    </w:p>
  </w:footnote>
  <w:footnote w:id="98">
    <w:p w14:paraId="1D5802EE" w14:textId="0EA639B9" w:rsidR="009D00CD" w:rsidRPr="009D00CD" w:rsidRDefault="009D00CD">
      <w:pPr>
        <w:pStyle w:val="FootnoteText"/>
      </w:pPr>
      <w:r>
        <w:rPr>
          <w:rStyle w:val="FootnoteReference"/>
        </w:rPr>
        <w:footnoteRef/>
      </w:r>
      <w:r>
        <w:t xml:space="preserve"> </w:t>
      </w:r>
      <w:r w:rsidRPr="009D00CD">
        <w:t>Secure Identity Alliance. “OSIA.” Accessed April 4, 2023. https://secureidentityalliance.org/osia.</w:t>
      </w:r>
    </w:p>
  </w:footnote>
  <w:footnote w:id="99">
    <w:p w14:paraId="79D79FCB" w14:textId="77777777" w:rsidR="00D246B8" w:rsidRPr="00A07A73" w:rsidRDefault="00D246B8" w:rsidP="00D246B8">
      <w:pPr>
        <w:pStyle w:val="FootnoteText"/>
      </w:pPr>
      <w:r>
        <w:rPr>
          <w:rStyle w:val="FootnoteReference"/>
        </w:rPr>
        <w:footnoteRef/>
      </w:r>
      <w:r>
        <w:t xml:space="preserve"> </w:t>
      </w:r>
      <w:r w:rsidRPr="00A07A73">
        <w:t>The World Bank, ID4D. “1. PRINCIPLES | Identification for Development.” Accessed April 4, 2023. https://id4d.worldbank.org/guide/1-principles.</w:t>
      </w:r>
    </w:p>
  </w:footnote>
  <w:footnote w:id="100">
    <w:p w14:paraId="3B09C838" w14:textId="52762AF6" w:rsidR="009D00CD" w:rsidRPr="009D00CD" w:rsidRDefault="009D00CD">
      <w:pPr>
        <w:pStyle w:val="FootnoteText"/>
      </w:pPr>
      <w:r>
        <w:rPr>
          <w:rStyle w:val="FootnoteReference"/>
        </w:rPr>
        <w:footnoteRef/>
      </w:r>
      <w:r>
        <w:t xml:space="preserve"> </w:t>
      </w:r>
      <w:r w:rsidRPr="009D00CD">
        <w:t>Secure Identity Alliance. “Secure Identity Alliance Awarded Qualified ITU-T Reference Organization Status - Landmark Qualification Enables the ITU-T to Normatively Reference OSIA Specifications,” November 11, 2022. https://secureidentityalliance.org/news-events/news/secure-identity-alliance-awarded-qualified-itu-t-reference-organization-status.</w:t>
      </w:r>
    </w:p>
  </w:footnote>
  <w:footnote w:id="101">
    <w:p w14:paraId="18AC7A00" w14:textId="7E8601B1" w:rsidR="009D00CD" w:rsidRPr="009D00CD" w:rsidRDefault="009D00CD">
      <w:pPr>
        <w:pStyle w:val="FootnoteText"/>
      </w:pPr>
      <w:r>
        <w:rPr>
          <w:rStyle w:val="FootnoteReference"/>
        </w:rPr>
        <w:footnoteRef/>
      </w:r>
      <w:r>
        <w:t xml:space="preserve"> </w:t>
      </w:r>
      <w:r w:rsidRPr="009D00CD">
        <w:t>Secure Identity Alliance. “2. Functional View — OSIA 6.2.0-DRAFT Documentation.” Accessed April 4, 2023. https://osia.readthedocs.io/en/latest/02%20-%20functional.html.</w:t>
      </w:r>
    </w:p>
  </w:footnote>
  <w:footnote w:id="102">
    <w:p w14:paraId="30BE636C" w14:textId="75D69900" w:rsidR="00B56BFD" w:rsidRPr="001E02F4" w:rsidRDefault="00B56BFD" w:rsidP="00B56BFD">
      <w:pPr>
        <w:rPr>
          <w:sz w:val="18"/>
          <w:szCs w:val="18"/>
        </w:rPr>
      </w:pPr>
      <w:r w:rsidRPr="001E02F4">
        <w:rPr>
          <w:rStyle w:val="FootnoteReference"/>
        </w:rPr>
        <w:footnoteRef/>
      </w:r>
      <w:r w:rsidRPr="001E02F4">
        <w:rPr>
          <w:sz w:val="18"/>
          <w:szCs w:val="18"/>
        </w:rPr>
        <w:t xml:space="preserve"> </w:t>
      </w:r>
      <w:r w:rsidRPr="001E02F4">
        <w:rPr>
          <w:rStyle w:val="FootnoteTextChar"/>
        </w:rPr>
        <w:t xml:space="preserve">The World Bank ID4D. “Practitioner’s Guide.” Accessed April 1, 2023. </w:t>
      </w:r>
      <w:hyperlink r:id="rId84" w:history="1">
        <w:r w:rsidRPr="001E02F4">
          <w:rPr>
            <w:rStyle w:val="FootnoteTextChar"/>
          </w:rPr>
          <w:t>https://id4d.worldbank.org/guide/creating-good-id-system-presents-risks-and-challenges-there-are-common-success-factors</w:t>
        </w:r>
      </w:hyperlink>
      <w:r w:rsidRPr="001E02F4">
        <w:rPr>
          <w:rStyle w:val="FootnoteTextChar"/>
        </w:rPr>
        <w:t>.</w:t>
      </w:r>
    </w:p>
  </w:footnote>
  <w:footnote w:id="103">
    <w:p w14:paraId="49E7F782" w14:textId="25DA529B" w:rsidR="00E72403" w:rsidRPr="00E72403" w:rsidRDefault="00E72403">
      <w:pPr>
        <w:pStyle w:val="FootnoteText"/>
      </w:pPr>
      <w:r>
        <w:rPr>
          <w:rStyle w:val="FootnoteReference"/>
        </w:rPr>
        <w:footnoteRef/>
      </w:r>
      <w:r>
        <w:t xml:space="preserve"> </w:t>
      </w:r>
      <w:r w:rsidRPr="00E72403">
        <w:t>Waldman, Ari Ezra, "Cognitive Biases, Dark Patterns, and the ‘Privacy Paradox’" (2020).</w:t>
      </w:r>
      <w:r>
        <w:t xml:space="preserve"> </w:t>
      </w:r>
      <w:r w:rsidRPr="00E72403">
        <w:t>Articles &amp;</w:t>
      </w:r>
      <w:r>
        <w:t xml:space="preserve"> </w:t>
      </w:r>
      <w:r w:rsidRPr="00E72403">
        <w:t>Chapters. 1332.</w:t>
      </w:r>
      <w:r>
        <w:t xml:space="preserve"> </w:t>
      </w:r>
      <w:r w:rsidRPr="00E72403">
        <w:t>https://digitalcommons.nyls.edu/fac_articles_chapters/1332</w:t>
      </w:r>
    </w:p>
  </w:footnote>
  <w:footnote w:id="104">
    <w:p w14:paraId="78E6037B" w14:textId="1A39B3F8" w:rsidR="00072C82" w:rsidRPr="00072C82" w:rsidRDefault="00072C82">
      <w:pPr>
        <w:pStyle w:val="FootnoteText"/>
      </w:pPr>
      <w:r>
        <w:rPr>
          <w:rStyle w:val="FootnoteReference"/>
        </w:rPr>
        <w:footnoteRef/>
      </w:r>
      <w:r>
        <w:t xml:space="preserve"> See for example the note in 4.7 Proofs (Signature) in </w:t>
      </w:r>
      <w:r w:rsidR="006B4673" w:rsidRPr="001E02F4">
        <w:rPr>
          <w:szCs w:val="18"/>
        </w:rPr>
        <w:t>“</w:t>
      </w:r>
      <w:r w:rsidR="006B4673" w:rsidRPr="001E02F4">
        <w:rPr>
          <w:rStyle w:val="FootnoteTextChar"/>
        </w:rPr>
        <w:t xml:space="preserve">Verifiable Credentials Data Model v1.1,” </w:t>
      </w:r>
      <w:hyperlink r:id="rId85" w:history="1">
        <w:r w:rsidR="006B4673" w:rsidRPr="001E02F4">
          <w:rPr>
            <w:rStyle w:val="FootnoteTextChar"/>
          </w:rPr>
          <w:t>https://www.w3.org/TR/vc-data-model</w:t>
        </w:r>
      </w:hyperlink>
      <w:r w:rsidR="006B4673" w:rsidRPr="001E02F4">
        <w:rPr>
          <w:rStyle w:val="FootnoteTextChar"/>
        </w:rPr>
        <w:t>.</w:t>
      </w:r>
    </w:p>
  </w:footnote>
  <w:footnote w:id="105">
    <w:p w14:paraId="537C932B" w14:textId="77777777" w:rsidR="000A6003" w:rsidRPr="001E02F4" w:rsidRDefault="009D0F65">
      <w:pPr>
        <w:rPr>
          <w:sz w:val="18"/>
          <w:szCs w:val="18"/>
        </w:rPr>
      </w:pPr>
      <w:r w:rsidRPr="001E02F4">
        <w:rPr>
          <w:sz w:val="18"/>
          <w:szCs w:val="18"/>
          <w:vertAlign w:val="superscript"/>
        </w:rPr>
        <w:footnoteRef/>
      </w:r>
      <w:r w:rsidRPr="001E02F4">
        <w:rPr>
          <w:sz w:val="18"/>
          <w:szCs w:val="18"/>
        </w:rPr>
        <w:t xml:space="preserve"> Shaheed, Kashif, Aihua Mao, Imran Qureshi, Munish Kumar, Qaisar Abbas, Inam Ullah, and Xingming Zhang. “A Systematic Review on Physiological-Based Biometric Recognition Systems: Current and Future Trends.” </w:t>
      </w:r>
      <w:r w:rsidRPr="001E02F4">
        <w:rPr>
          <w:i/>
          <w:sz w:val="18"/>
          <w:szCs w:val="18"/>
        </w:rPr>
        <w:t>Archives of Computational Methods in Engineering</w:t>
      </w:r>
      <w:r w:rsidRPr="001E02F4">
        <w:rPr>
          <w:sz w:val="18"/>
          <w:szCs w:val="18"/>
        </w:rPr>
        <w:t xml:space="preserve"> 28, no. 7 (2021): 4917–60. https://doi.org/10.1007/s11831-021-09560-3.</w:t>
      </w:r>
    </w:p>
  </w:footnote>
  <w:footnote w:id="106">
    <w:p w14:paraId="64D96C27" w14:textId="4AA0A463" w:rsidR="00206398" w:rsidRDefault="00206398" w:rsidP="00206398">
      <w:pPr>
        <w:pStyle w:val="FootnoteText"/>
      </w:pPr>
      <w:r>
        <w:rPr>
          <w:rStyle w:val="FootnoteReference"/>
        </w:rPr>
        <w:footnoteRef/>
      </w:r>
      <w:r>
        <w:t xml:space="preserve"> </w:t>
      </w:r>
      <w:r w:rsidRPr="00206398">
        <w:t xml:space="preserve">ISO/IEC 2382-37:2022 Information technology — Vocabulary — Part 37: Biometrics. ISO/IEC JTC 1/SC 37. Geneva, Switzerland: ISO, March 2022. </w:t>
      </w:r>
      <w:hyperlink r:id="rId86" w:history="1">
        <w:r w:rsidRPr="00206398">
          <w:rPr>
            <w:rStyle w:val="Hyperlink"/>
          </w:rPr>
          <w:t>https://www.iso.org/standard/73514.html</w:t>
        </w:r>
      </w:hyperlink>
      <w:r w:rsidRPr="00206398">
        <w:t>.</w:t>
      </w:r>
    </w:p>
  </w:footnote>
  <w:footnote w:id="107">
    <w:p w14:paraId="6D26AD70" w14:textId="77777777" w:rsidR="000A6003" w:rsidRPr="001E02F4" w:rsidRDefault="009D0F65">
      <w:pPr>
        <w:rPr>
          <w:sz w:val="18"/>
          <w:szCs w:val="18"/>
        </w:rPr>
      </w:pPr>
      <w:r w:rsidRPr="001E02F4">
        <w:rPr>
          <w:sz w:val="18"/>
          <w:szCs w:val="18"/>
          <w:vertAlign w:val="superscript"/>
        </w:rPr>
        <w:footnoteRef/>
      </w:r>
      <w:r w:rsidRPr="001E02F4">
        <w:rPr>
          <w:sz w:val="18"/>
          <w:szCs w:val="18"/>
        </w:rPr>
        <w:t xml:space="preserve"> Zukarnain, Z.A.; Muneer, A.; Ab Aziz, M.K. Authentication Securing Methods for Mobile Identity: Issues, Solutions and Challenges. Symmetry 2022, 14, 821. https://doi.org/10.3390/sym14040821</w:t>
      </w:r>
    </w:p>
  </w:footnote>
  <w:footnote w:id="108">
    <w:p w14:paraId="6D9C4AC3" w14:textId="4048C7FD" w:rsidR="005E6911" w:rsidRPr="005E6911" w:rsidRDefault="005E6911">
      <w:pPr>
        <w:pStyle w:val="FootnoteText"/>
      </w:pPr>
      <w:r w:rsidRPr="001E02F4">
        <w:rPr>
          <w:rStyle w:val="FootnoteReference"/>
        </w:rPr>
        <w:footnoteRef/>
      </w:r>
      <w:r w:rsidRPr="001E02F4">
        <w:rPr>
          <w:szCs w:val="18"/>
        </w:rPr>
        <w:t xml:space="preserve"> </w:t>
      </w:r>
      <w:r w:rsidRPr="001E02F4">
        <w:t xml:space="preserve">Bertocci, Vittorio. “A Tale of Two Biometrics Styles.” Auth0 - Blog, March 10, 2023. </w:t>
      </w:r>
      <w:hyperlink r:id="rId87" w:history="1">
        <w:r w:rsidRPr="001E02F4">
          <w:t>https://auth0.com/blog/a-tale-of-two-biometrics-styles/</w:t>
        </w:r>
      </w:hyperlink>
      <w:r w:rsidRPr="001E02F4">
        <w:t>.</w:t>
      </w:r>
    </w:p>
  </w:footnote>
  <w:footnote w:id="109">
    <w:p w14:paraId="7FD89333" w14:textId="02B77B22" w:rsidR="000A6003" w:rsidRPr="001E02F4" w:rsidRDefault="009D0F65" w:rsidP="000A1CC7">
      <w:pPr>
        <w:rPr>
          <w:rStyle w:val="FootnoteTextChar"/>
        </w:rPr>
      </w:pPr>
      <w:r w:rsidRPr="001E02F4">
        <w:rPr>
          <w:sz w:val="18"/>
          <w:szCs w:val="18"/>
          <w:vertAlign w:val="superscript"/>
        </w:rPr>
        <w:footnoteRef/>
      </w:r>
      <w:r w:rsidRPr="001E02F4">
        <w:rPr>
          <w:sz w:val="18"/>
          <w:szCs w:val="18"/>
        </w:rPr>
        <w:t xml:space="preserve"> </w:t>
      </w:r>
      <w:r w:rsidRPr="001E02F4">
        <w:rPr>
          <w:rStyle w:val="FootnoteTextChar"/>
        </w:rPr>
        <w:t xml:space="preserve">See for example Prabhu, D., S. Vijay Bhanu, and S. Suthir. ‘Privacy Preserving Steganography Based Biometric Authentication System for Cloud Computing Environment’. Measurement: Sensors 24 (2022): 100511. </w:t>
      </w:r>
      <w:hyperlink r:id="rId88">
        <w:r w:rsidRPr="001E02F4">
          <w:rPr>
            <w:rStyle w:val="FootnoteTextChar"/>
          </w:rPr>
          <w:t>https://doi.org/10.1016/j.measen.2022.100511</w:t>
        </w:r>
      </w:hyperlink>
      <w:r w:rsidRPr="001E02F4">
        <w:rPr>
          <w:rStyle w:val="FootnoteTextChar"/>
        </w:rPr>
        <w:t xml:space="preserve"> and </w:t>
      </w:r>
      <w:r w:rsidR="000A1CC7" w:rsidRPr="001E02F4">
        <w:rPr>
          <w:rStyle w:val="FootnoteTextChar"/>
        </w:rPr>
        <w:t xml:space="preserve">Loh, Jia-Chng, Geong-Sen Poh, Jason H. M. Ying, Hoon Wei Lim, Jonathan Pan, and Weiyang Wong. “PBio: Enabling Cross-Organizational Biometric Authentication Service through Secure Sharing of Biometric Templates,” November 10, 2020. </w:t>
      </w:r>
      <w:hyperlink r:id="rId89" w:history="1">
        <w:r w:rsidR="000A1CC7" w:rsidRPr="001E02F4">
          <w:rPr>
            <w:rStyle w:val="FootnoteTextChar"/>
          </w:rPr>
          <w:t>https://eprint.iacr.org/2020/1381</w:t>
        </w:r>
      </w:hyperlink>
      <w:r w:rsidR="000A1CC7" w:rsidRPr="001E02F4">
        <w:rPr>
          <w:rStyle w:val="FootnoteTextChar"/>
        </w:rPr>
        <w:t>.</w:t>
      </w:r>
    </w:p>
  </w:footnote>
  <w:footnote w:id="110">
    <w:p w14:paraId="2EEAD52F" w14:textId="4ECA0FDA" w:rsidR="003818D4" w:rsidRPr="00095237" w:rsidRDefault="003818D4" w:rsidP="00835208">
      <w:pPr>
        <w:pStyle w:val="FootnoteText"/>
        <w:rPr>
          <w:b/>
          <w:bCs/>
        </w:rPr>
      </w:pPr>
      <w:r>
        <w:rPr>
          <w:rStyle w:val="FootnoteReference"/>
        </w:rPr>
        <w:footnoteRef/>
      </w:r>
      <w:r>
        <w:t xml:space="preserve"> Note that there is a proposal currently in the US Senate Judiciary </w:t>
      </w:r>
      <w:r w:rsidRPr="00835208">
        <w:t xml:space="preserve">Committee, </w:t>
      </w:r>
      <w:r w:rsidR="00835208" w:rsidRPr="00835208">
        <w:t>introduced in August 2020, “</w:t>
      </w:r>
      <w:r w:rsidR="00835208" w:rsidRPr="00095237">
        <w:t xml:space="preserve">S.4400 - National Biometric Information Privacy Act of 2020” but has not made progress. See </w:t>
      </w:r>
      <w:hyperlink r:id="rId90" w:history="1">
        <w:r w:rsidR="00835208" w:rsidRPr="00095237">
          <w:rPr>
            <w:rStyle w:val="Hyperlink"/>
          </w:rPr>
          <w:t>https://www.congress.gov/bill/116th-congress/senate-bill/4400</w:t>
        </w:r>
      </w:hyperlink>
      <w:r w:rsidR="00835208" w:rsidRPr="00095237">
        <w:t>.</w:t>
      </w:r>
      <w:r w:rsidR="00835208">
        <w:rPr>
          <w:b/>
          <w:bCs/>
        </w:rPr>
        <w:t xml:space="preserve"> </w:t>
      </w:r>
    </w:p>
  </w:footnote>
  <w:footnote w:id="111">
    <w:p w14:paraId="329412ED" w14:textId="1A863197" w:rsidR="000A6003" w:rsidRPr="001E02F4" w:rsidRDefault="009D0F65">
      <w:pPr>
        <w:rPr>
          <w:rStyle w:val="FootnoteTextChar"/>
        </w:rPr>
      </w:pPr>
      <w:r w:rsidRPr="001E02F4">
        <w:rPr>
          <w:sz w:val="18"/>
          <w:szCs w:val="18"/>
          <w:vertAlign w:val="superscript"/>
        </w:rPr>
        <w:footnoteRef/>
      </w:r>
      <w:r w:rsidRPr="001E02F4">
        <w:rPr>
          <w:sz w:val="18"/>
          <w:szCs w:val="18"/>
        </w:rPr>
        <w:t xml:space="preserve"> </w:t>
      </w:r>
      <w:r w:rsidR="00D70171" w:rsidRPr="001E02F4">
        <w:rPr>
          <w:rStyle w:val="FootnoteTextChar"/>
        </w:rPr>
        <w:t xml:space="preserve">Ross, Danny. “Processing Biometric Data? Be Careful, under the GDPR.” International Association of Privacy Professionals, October 13, 2017. </w:t>
      </w:r>
      <w:hyperlink r:id="rId91" w:history="1">
        <w:r w:rsidR="00D70171" w:rsidRPr="001E02F4">
          <w:rPr>
            <w:rStyle w:val="FootnoteTextChar"/>
          </w:rPr>
          <w:t>https://iapp.org/news/a/processing-biometric-data-be-careful-under-the-gdpr/</w:t>
        </w:r>
      </w:hyperlink>
      <w:r w:rsidR="00D70171" w:rsidRPr="001E02F4">
        <w:rPr>
          <w:rStyle w:val="FootnoteTextChar"/>
        </w:rPr>
        <w:t>.</w:t>
      </w:r>
    </w:p>
  </w:footnote>
  <w:footnote w:id="112">
    <w:p w14:paraId="75A6CA43" w14:textId="59A6F723" w:rsidR="000A6003" w:rsidRPr="001E02F4" w:rsidRDefault="009D0F65">
      <w:pPr>
        <w:rPr>
          <w:rStyle w:val="FootnoteTextChar"/>
        </w:rPr>
      </w:pPr>
      <w:r w:rsidRPr="001E02F4">
        <w:rPr>
          <w:sz w:val="18"/>
          <w:szCs w:val="18"/>
          <w:vertAlign w:val="superscript"/>
        </w:rPr>
        <w:footnoteRef/>
      </w:r>
      <w:r w:rsidRPr="001E02F4">
        <w:rPr>
          <w:sz w:val="18"/>
          <w:szCs w:val="18"/>
        </w:rPr>
        <w:t xml:space="preserve"> </w:t>
      </w:r>
      <w:r w:rsidR="00D70171" w:rsidRPr="001E02F4">
        <w:rPr>
          <w:rStyle w:val="FootnoteTextChar"/>
        </w:rPr>
        <w:t xml:space="preserve">Human Rights Watch. “The EU General Data Protection Regulation,” June 6, 2018. </w:t>
      </w:r>
      <w:hyperlink r:id="rId92" w:history="1">
        <w:r w:rsidR="00D70171" w:rsidRPr="001E02F4">
          <w:rPr>
            <w:rStyle w:val="FootnoteTextChar"/>
          </w:rPr>
          <w:t>https://www.hrw.org/news/2018/06/06/eu-general-data-protection-regulation</w:t>
        </w:r>
      </w:hyperlink>
      <w:r w:rsidR="00D70171" w:rsidRPr="001E02F4">
        <w:rPr>
          <w:rStyle w:val="FootnoteTextChar"/>
        </w:rPr>
        <w:t>.</w:t>
      </w:r>
    </w:p>
  </w:footnote>
  <w:footnote w:id="113">
    <w:p w14:paraId="1AAA6713" w14:textId="4A061667"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635005" w:rsidRPr="001E02F4">
        <w:rPr>
          <w:sz w:val="18"/>
          <w:szCs w:val="18"/>
        </w:rPr>
        <w:t>“</w:t>
      </w:r>
      <w:r w:rsidRPr="001E02F4">
        <w:rPr>
          <w:sz w:val="18"/>
          <w:szCs w:val="18"/>
        </w:rPr>
        <w:t>Security and Privacy Considerations for the OASIS Security Assertion Markup</w:t>
      </w:r>
    </w:p>
    <w:p w14:paraId="586CF2BB" w14:textId="3C177BFD" w:rsidR="000A6003" w:rsidRPr="00D70171" w:rsidRDefault="009D0F65">
      <w:pPr>
        <w:rPr>
          <w:sz w:val="20"/>
          <w:szCs w:val="20"/>
        </w:rPr>
      </w:pPr>
      <w:r w:rsidRPr="001E02F4">
        <w:rPr>
          <w:sz w:val="18"/>
          <w:szCs w:val="18"/>
        </w:rPr>
        <w:t>Language (SAML)</w:t>
      </w:r>
      <w:r w:rsidR="00635005" w:rsidRPr="001E02F4">
        <w:rPr>
          <w:sz w:val="18"/>
          <w:szCs w:val="18"/>
        </w:rPr>
        <w:t>.”</w:t>
      </w:r>
      <w:r w:rsidRPr="001E02F4">
        <w:rPr>
          <w:sz w:val="18"/>
          <w:szCs w:val="18"/>
        </w:rPr>
        <w:t xml:space="preserve"> OASIS,</w:t>
      </w:r>
      <w:r w:rsidR="00635005" w:rsidRPr="001E02F4">
        <w:rPr>
          <w:sz w:val="18"/>
          <w:szCs w:val="18"/>
        </w:rPr>
        <w:t xml:space="preserve"> 15 March 2015. https://docs.oasis-open.org/security/saml/v2.0/saml-sec-consider-2.0-os.pdf</w:t>
      </w:r>
      <w:r w:rsidRPr="001E02F4">
        <w:rPr>
          <w:sz w:val="18"/>
          <w:szCs w:val="18"/>
        </w:rPr>
        <w:t>.</w:t>
      </w:r>
    </w:p>
  </w:footnote>
  <w:footnote w:id="114">
    <w:p w14:paraId="66A8E74B" w14:textId="77777777" w:rsidR="000A6003" w:rsidRPr="001E02F4" w:rsidRDefault="009D0F65">
      <w:pPr>
        <w:rPr>
          <w:sz w:val="18"/>
          <w:szCs w:val="18"/>
        </w:rPr>
      </w:pPr>
      <w:r w:rsidRPr="001E02F4">
        <w:rPr>
          <w:sz w:val="18"/>
          <w:szCs w:val="18"/>
          <w:vertAlign w:val="superscript"/>
        </w:rPr>
        <w:footnoteRef/>
      </w:r>
      <w:r w:rsidRPr="001E02F4">
        <w:rPr>
          <w:sz w:val="18"/>
          <w:szCs w:val="18"/>
        </w:rPr>
        <w:t xml:space="preserve"> F. Hirsch et al. Security and Privacy Considerations for the OASIS Security Assertion Markup Language (SAML) V2.0. OASIS SSTC, March 2005. Document ID saml-sec-consider-2.0-os. See http://docs.oasis-open.org/security/saml/v2.0/saml-sec-consider-2.0-os.pdf.</w:t>
      </w:r>
    </w:p>
  </w:footnote>
  <w:footnote w:id="115">
    <w:p w14:paraId="78BE0FA5" w14:textId="77777777"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Pr="001E02F4">
        <w:rPr>
          <w:rStyle w:val="FootnoteTextChar"/>
        </w:rPr>
        <w:t>Cooper, A., Tschofenig, H., Aboba, B., Peterson, J., Morris, J., Hansen, M., and R. Smith, "Privacy Considerations for Internet Protocols", RFC 6973, DOI 10.17487/RFC6973, July 2013, &lt;</w:t>
      </w:r>
      <w:hyperlink r:id="rId93">
        <w:r w:rsidRPr="001E02F4">
          <w:rPr>
            <w:rStyle w:val="FootnoteTextChar"/>
          </w:rPr>
          <w:t>https://www.rfc-editor.org/info/rfc6973</w:t>
        </w:r>
      </w:hyperlink>
      <w:r w:rsidRPr="001E02F4">
        <w:rPr>
          <w:rStyle w:val="FootnoteTextChar"/>
        </w:rPr>
        <w:t>&gt;.</w:t>
      </w:r>
      <w:r w:rsidRPr="001E02F4">
        <w:rPr>
          <w:sz w:val="18"/>
          <w:szCs w:val="18"/>
        </w:rPr>
        <w:t xml:space="preserve"> </w:t>
      </w:r>
    </w:p>
  </w:footnote>
  <w:footnote w:id="116">
    <w:p w14:paraId="2E6B2042" w14:textId="5923B692" w:rsidR="000A6003" w:rsidRPr="001E02F4" w:rsidRDefault="009D0F65" w:rsidP="00B20777">
      <w:pPr>
        <w:rPr>
          <w:sz w:val="18"/>
          <w:szCs w:val="18"/>
        </w:rPr>
      </w:pPr>
      <w:r w:rsidRPr="001E02F4">
        <w:rPr>
          <w:sz w:val="18"/>
          <w:szCs w:val="18"/>
          <w:vertAlign w:val="superscript"/>
        </w:rPr>
        <w:footnoteRef/>
      </w:r>
      <w:r w:rsidR="00B20777" w:rsidRPr="001E02F4">
        <w:rPr>
          <w:sz w:val="18"/>
          <w:szCs w:val="18"/>
        </w:rPr>
        <w:t xml:space="preserve"> See pg 58 of</w:t>
      </w:r>
      <w:r w:rsidRPr="001E02F4">
        <w:rPr>
          <w:sz w:val="18"/>
          <w:szCs w:val="18"/>
        </w:rPr>
        <w:t xml:space="preserve"> </w:t>
      </w:r>
      <w:r w:rsidR="00B20777" w:rsidRPr="001E02F4">
        <w:rPr>
          <w:sz w:val="18"/>
          <w:szCs w:val="18"/>
        </w:rPr>
        <w:t>Lodderstedt, T., Ed., McGloin, M., and P. Hunt, "OAuth 2.0 Threat Model and Security Considerations", RFC 6819, DOI 10.17487/RFC6819, January 2013, &lt;https://www.rfc-editor.org/info/rfc6819&gt;.</w:t>
      </w:r>
    </w:p>
  </w:footnote>
  <w:footnote w:id="117">
    <w:p w14:paraId="5EC14C6E" w14:textId="47DC66D5" w:rsidR="000A6003" w:rsidRDefault="009D0F65">
      <w:pPr>
        <w:rPr>
          <w:sz w:val="20"/>
          <w:szCs w:val="20"/>
        </w:rPr>
      </w:pPr>
      <w:r w:rsidRPr="001E02F4">
        <w:rPr>
          <w:sz w:val="18"/>
          <w:szCs w:val="18"/>
          <w:vertAlign w:val="superscript"/>
        </w:rPr>
        <w:footnoteRef/>
      </w:r>
      <w:r w:rsidRPr="001E02F4">
        <w:rPr>
          <w:sz w:val="18"/>
          <w:szCs w:val="18"/>
        </w:rPr>
        <w:t xml:space="preserve"> </w:t>
      </w:r>
      <w:r w:rsidR="003C061B" w:rsidRPr="001E02F4">
        <w:rPr>
          <w:sz w:val="18"/>
          <w:szCs w:val="18"/>
        </w:rPr>
        <w:t>“</w:t>
      </w:r>
      <w:r w:rsidR="003C061B" w:rsidRPr="001E02F4">
        <w:rPr>
          <w:rStyle w:val="FootnoteTextChar"/>
        </w:rPr>
        <w:t xml:space="preserve">Verifiable Credentials Data Model v1.1,” </w:t>
      </w:r>
      <w:hyperlink r:id="rId94" w:history="1">
        <w:r w:rsidR="003C061B" w:rsidRPr="001E02F4">
          <w:rPr>
            <w:rStyle w:val="FootnoteTextChar"/>
          </w:rPr>
          <w:t>https://www.w3.org/TR/vc-data-model</w:t>
        </w:r>
      </w:hyperlink>
      <w:r w:rsidR="003C061B" w:rsidRPr="001E02F4">
        <w:rPr>
          <w:rStyle w:val="FootnoteTextChar"/>
        </w:rPr>
        <w:t>.</w:t>
      </w:r>
      <w:r w:rsidR="003C061B" w:rsidRPr="0023682C">
        <w:rPr>
          <w:sz w:val="20"/>
          <w:szCs w:val="20"/>
        </w:rPr>
        <w:t xml:space="preserve"> </w:t>
      </w:r>
    </w:p>
  </w:footnote>
  <w:footnote w:id="118">
    <w:p w14:paraId="051A6F12" w14:textId="77777777" w:rsidR="00F15FE4" w:rsidRPr="00495A37" w:rsidRDefault="00F15FE4" w:rsidP="00F15FE4">
      <w:pPr>
        <w:rPr>
          <w:rStyle w:val="FootnoteTextChar"/>
          <w:b/>
          <w:bCs/>
        </w:rPr>
      </w:pPr>
      <w:r w:rsidRPr="001E02F4">
        <w:rPr>
          <w:sz w:val="18"/>
          <w:szCs w:val="18"/>
          <w:vertAlign w:val="superscript"/>
        </w:rPr>
        <w:footnoteRef/>
      </w:r>
      <w:r w:rsidRPr="001E02F4">
        <w:rPr>
          <w:sz w:val="18"/>
          <w:szCs w:val="18"/>
        </w:rPr>
        <w:t xml:space="preserve"> </w:t>
      </w:r>
      <w:r w:rsidRPr="00884362">
        <w:rPr>
          <w:rStyle w:val="FootnoteTextChar"/>
          <w:szCs w:val="18"/>
        </w:rPr>
        <w:t xml:space="preserve">FIDO Alliance. “FIDO2 - </w:t>
      </w:r>
      <w:r w:rsidRPr="00495A37">
        <w:rPr>
          <w:sz w:val="18"/>
          <w:szCs w:val="18"/>
        </w:rPr>
        <w:t xml:space="preserve">User Authentication Specifications Overview.” </w:t>
      </w:r>
      <w:r w:rsidRPr="00884362">
        <w:rPr>
          <w:rStyle w:val="FootnoteTextChar"/>
          <w:szCs w:val="18"/>
        </w:rPr>
        <w:t xml:space="preserve">Accessed April 29, 2023. </w:t>
      </w:r>
      <w:r w:rsidRPr="00495A37">
        <w:rPr>
          <w:sz w:val="18"/>
          <w:szCs w:val="18"/>
        </w:rPr>
        <w:t>https://fidoalliance.org/specifications/</w:t>
      </w:r>
      <w:r w:rsidRPr="00884362">
        <w:rPr>
          <w:rStyle w:val="FootnoteTextChar"/>
          <w:szCs w:val="18"/>
        </w:rPr>
        <w:t>.</w:t>
      </w:r>
    </w:p>
  </w:footnote>
  <w:footnote w:id="119">
    <w:p w14:paraId="5D2BE67D" w14:textId="017CA9F4" w:rsidR="00F15FE4" w:rsidRDefault="00F15FE4">
      <w:pPr>
        <w:pStyle w:val="FootnoteText"/>
      </w:pPr>
      <w:r>
        <w:rPr>
          <w:rStyle w:val="FootnoteReference"/>
        </w:rPr>
        <w:footnoteRef/>
      </w:r>
      <w:r>
        <w:t xml:space="preserve"> FIDO Alliance. “Privacy Principles.” Accessed 4 May 2023. </w:t>
      </w:r>
      <w:r w:rsidRPr="00F15FE4">
        <w:t>https://fidoalliance.org/fido-authentication/privacy-principles/</w:t>
      </w:r>
      <w:r>
        <w:t>.</w:t>
      </w:r>
    </w:p>
  </w:footnote>
  <w:footnote w:id="120">
    <w:p w14:paraId="389E0A9A" w14:textId="727D0786" w:rsidR="000A6003" w:rsidRPr="001E02F4" w:rsidRDefault="009D0F65">
      <w:pPr>
        <w:rPr>
          <w:rStyle w:val="FootnoteTextChar"/>
        </w:rPr>
      </w:pPr>
      <w:r w:rsidRPr="001E02F4">
        <w:rPr>
          <w:sz w:val="18"/>
          <w:szCs w:val="18"/>
          <w:vertAlign w:val="superscript"/>
        </w:rPr>
        <w:footnoteRef/>
      </w:r>
      <w:r w:rsidRPr="001E02F4">
        <w:rPr>
          <w:sz w:val="18"/>
          <w:szCs w:val="18"/>
        </w:rPr>
        <w:t xml:space="preserve"> </w:t>
      </w:r>
      <w:r w:rsidR="003C061B" w:rsidRPr="001E02F4">
        <w:rPr>
          <w:rStyle w:val="FootnoteTextChar"/>
        </w:rPr>
        <w:t xml:space="preserve">OpenID Foundation. “EKYC &amp; Identity Assurance WG.” Accessed April 1, 2023. </w:t>
      </w:r>
      <w:hyperlink r:id="rId95" w:history="1">
        <w:r w:rsidR="003C061B" w:rsidRPr="001E02F4">
          <w:rPr>
            <w:rStyle w:val="FootnoteTextChar"/>
          </w:rPr>
          <w:t>https://openid.net/wg/ekyc-ida/</w:t>
        </w:r>
      </w:hyperlink>
      <w:r w:rsidR="003C061B" w:rsidRPr="001E02F4">
        <w:rPr>
          <w:rStyle w:val="FootnoteTextChar"/>
        </w:rPr>
        <w:t>.</w:t>
      </w:r>
    </w:p>
  </w:footnote>
  <w:footnote w:id="121">
    <w:p w14:paraId="22098C57" w14:textId="77777777" w:rsidR="000A6003" w:rsidRDefault="009D0F65">
      <w:pPr>
        <w:rPr>
          <w:sz w:val="20"/>
          <w:szCs w:val="20"/>
        </w:rPr>
      </w:pPr>
      <w:r w:rsidRPr="001E02F4">
        <w:rPr>
          <w:sz w:val="18"/>
          <w:szCs w:val="18"/>
          <w:vertAlign w:val="superscript"/>
        </w:rPr>
        <w:footnoteRef/>
      </w:r>
      <w:r w:rsidRPr="001E02F4">
        <w:rPr>
          <w:sz w:val="18"/>
          <w:szCs w:val="18"/>
        </w:rPr>
        <w:t xml:space="preserve"> </w:t>
      </w:r>
      <w:r w:rsidRPr="001E02F4">
        <w:rPr>
          <w:rStyle w:val="FootnoteTextChar"/>
        </w:rPr>
        <w:t xml:space="preserve">Fett, Daniel, “OIDC Advanced Syntax for Claims (ASC) - Transformed Claims &amp; Selective Abort/Omit,” presentation, 12 May 2021, </w:t>
      </w:r>
      <w:hyperlink r:id="rId96">
        <w:r w:rsidRPr="001E02F4">
          <w:rPr>
            <w:rStyle w:val="FootnoteTextChar"/>
          </w:rPr>
          <w:t>https://danielfett.de/download/oidc-advanced-syntax-for-claims.pdf</w:t>
        </w:r>
      </w:hyperlink>
    </w:p>
  </w:footnote>
  <w:footnote w:id="122">
    <w:p w14:paraId="157337CE" w14:textId="79B4C0AA" w:rsidR="00EF28E9" w:rsidRDefault="00EF28E9">
      <w:pPr>
        <w:pStyle w:val="FootnoteText"/>
      </w:pPr>
      <w:r>
        <w:rPr>
          <w:rStyle w:val="FootnoteReference"/>
        </w:rPr>
        <w:footnoteRef/>
      </w:r>
      <w:r>
        <w:t xml:space="preserve"> Open Identity Exchange</w:t>
      </w:r>
      <w:r w:rsidRPr="00EF28E9">
        <w:t>. “OIX - Working Groups</w:t>
      </w:r>
      <w:r>
        <w:t>.</w:t>
      </w:r>
      <w:r w:rsidRPr="00EF28E9">
        <w:t xml:space="preserve">” </w:t>
      </w:r>
      <w:r>
        <w:t>Accessed May 3, 2023</w:t>
      </w:r>
      <w:r w:rsidRPr="00EF28E9">
        <w:t>. https://openidentityexchange.org/workgroups.</w:t>
      </w:r>
    </w:p>
  </w:footnote>
  <w:footnote w:id="123">
    <w:p w14:paraId="07BC1AED" w14:textId="29956C3E" w:rsidR="00F577C9" w:rsidRPr="00F577C9" w:rsidRDefault="00F577C9">
      <w:pPr>
        <w:pStyle w:val="FootnoteText"/>
      </w:pPr>
      <w:r>
        <w:rPr>
          <w:rStyle w:val="FootnoteReference"/>
        </w:rPr>
        <w:footnoteRef/>
      </w:r>
      <w:r>
        <w:t xml:space="preserve"> See </w:t>
      </w:r>
      <w:r w:rsidRPr="00F577C9">
        <w:t xml:space="preserve">De Coi, Juri Luca, and Daniel Olmedilla. "A Review of Trust Management, Security and Privacy Policy Languages." </w:t>
      </w:r>
      <w:r w:rsidRPr="00F577C9">
        <w:rPr>
          <w:i/>
          <w:iCs/>
        </w:rPr>
        <w:t>Secrypt</w:t>
      </w:r>
      <w:r w:rsidRPr="00F577C9">
        <w:t xml:space="preserve"> (2008): 483-490</w:t>
      </w:r>
      <w:r>
        <w:t xml:space="preserve"> and </w:t>
      </w:r>
      <w:r w:rsidRPr="00F577C9">
        <w:t>World Wide Web Consortium. “PolicyLangReview - Policy Languages Interest Group,” May 20, 2009. https://www.w3.org/Policy/pling/wiki/PolicyLangReview.</w:t>
      </w:r>
    </w:p>
  </w:footnote>
  <w:footnote w:id="124">
    <w:p w14:paraId="53E7893E" w14:textId="70270F5C" w:rsidR="00890CEA" w:rsidRPr="00890CEA" w:rsidRDefault="00890CEA">
      <w:pPr>
        <w:pStyle w:val="FootnoteText"/>
      </w:pPr>
      <w:r>
        <w:rPr>
          <w:rStyle w:val="FootnoteReference"/>
        </w:rPr>
        <w:footnoteRef/>
      </w:r>
      <w:r>
        <w:t xml:space="preserve"> </w:t>
      </w:r>
      <w:r w:rsidRPr="00890CEA">
        <w:t xml:space="preserve">Haine, Mark. “EKYC &amp; IDA WG Report.” </w:t>
      </w:r>
      <w:r w:rsidRPr="00890CEA">
        <w:rPr>
          <w:i/>
          <w:iCs/>
        </w:rPr>
        <w:t>OpenID Foundation</w:t>
      </w:r>
      <w:r w:rsidRPr="00890CEA">
        <w:t>. n.d. https://openid.net/wordpress-content/uploads/2021/09/OIDF_eKYC-WG-Update_Mark-Haine-Daniel-Fett.pdf.</w:t>
      </w:r>
    </w:p>
  </w:footnote>
  <w:footnote w:id="125">
    <w:p w14:paraId="0F6D5B93" w14:textId="67BFA370" w:rsidR="000F5543" w:rsidRPr="000F5543" w:rsidRDefault="000F5543">
      <w:pPr>
        <w:pStyle w:val="FootnoteText"/>
      </w:pPr>
      <w:r>
        <w:rPr>
          <w:rStyle w:val="FootnoteReference"/>
        </w:rPr>
        <w:footnoteRef/>
      </w:r>
      <w:r>
        <w:t xml:space="preserve"> </w:t>
      </w:r>
      <w:r w:rsidRPr="00750FE5">
        <w:rPr>
          <w:szCs w:val="18"/>
        </w:rPr>
        <w:t>Bertocci, Vittorio, and Daniel Fett. “Daniel Fett on Privacy-Preserving Measures and SD-JWT.” Auth0, September 29, 2022. https://identityunlocked.auth0.com/public/49/Identity%2C-Unlocked.--bed7fada/3bbcbab8.</w:t>
      </w:r>
    </w:p>
  </w:footnote>
  <w:footnote w:id="126">
    <w:p w14:paraId="6A60A5BF" w14:textId="3A75C8C0" w:rsidR="008869D7" w:rsidRPr="008869D7" w:rsidRDefault="008869D7">
      <w:pPr>
        <w:pStyle w:val="FootnoteText"/>
      </w:pPr>
      <w:r>
        <w:rPr>
          <w:rStyle w:val="FootnoteReference"/>
        </w:rPr>
        <w:footnoteRef/>
      </w:r>
      <w:r>
        <w:t xml:space="preserve"> </w:t>
      </w:r>
      <w:r w:rsidRPr="008869D7">
        <w:t>Fett, Daniel, Kristina Yasuda, and Brian Campbell. “Selective Disclosure for JWTs (SD-JWT).” IETF Datatracker, March 13, 2023. https://datatracker.ietf.org/doc/draft-ietf-oauth-selective-disclosure-jwt/.</w:t>
      </w:r>
    </w:p>
  </w:footnote>
  <w:footnote w:id="127">
    <w:p w14:paraId="4DA6720E" w14:textId="0121D15D" w:rsidR="00AA374F" w:rsidRPr="00AA374F" w:rsidRDefault="00AA374F">
      <w:pPr>
        <w:pStyle w:val="FootnoteText"/>
      </w:pPr>
      <w:r>
        <w:rPr>
          <w:rStyle w:val="FootnoteReference"/>
        </w:rPr>
        <w:footnoteRef/>
      </w:r>
      <w:r>
        <w:t xml:space="preserve"> </w:t>
      </w:r>
      <w:r w:rsidRPr="00AA374F">
        <w:t xml:space="preserve">Zhang, Yibo, Tawei Wang, and Carol Hsu. "The effects of voluntary GDPR adoption and the readability of privacy statements on customers’ information disclosure intention and trust." </w:t>
      </w:r>
      <w:r w:rsidRPr="00AA374F">
        <w:rPr>
          <w:i/>
          <w:iCs/>
        </w:rPr>
        <w:t>Journal of Intellectual Capital</w:t>
      </w:r>
      <w:r w:rsidRPr="00AA374F">
        <w:t xml:space="preserve"> 21, no. 2 (2020): 145-163.</w:t>
      </w:r>
    </w:p>
  </w:footnote>
  <w:footnote w:id="128">
    <w:p w14:paraId="7B055C35" w14:textId="0FF7E890" w:rsidR="00AA374F" w:rsidRPr="00AA374F" w:rsidRDefault="00AA374F">
      <w:pPr>
        <w:pStyle w:val="FootnoteText"/>
      </w:pPr>
      <w:r>
        <w:rPr>
          <w:rStyle w:val="FootnoteReference"/>
        </w:rPr>
        <w:footnoteRef/>
      </w:r>
      <w:r>
        <w:t xml:space="preserve"> </w:t>
      </w:r>
      <w:r w:rsidRPr="00AA374F">
        <w:t xml:space="preserve">Ioannou, Athina, Iis P. Tussyadiah, and Graham Miller. “That’s Private! Understanding Travelers’ Privacy Concerns and Online Data Disclosure.” </w:t>
      </w:r>
      <w:r w:rsidRPr="00AA374F">
        <w:rPr>
          <w:i/>
          <w:iCs/>
        </w:rPr>
        <w:t>Journal of Travel Research</w:t>
      </w:r>
      <w:r w:rsidRPr="00AA374F">
        <w:t xml:space="preserve"> 60, no. 7 (September 1, 2021): 1510–26. https://doi.org/10.1177/0047287520951642.</w:t>
      </w:r>
    </w:p>
  </w:footnote>
  <w:footnote w:id="129">
    <w:p w14:paraId="6359A9A3" w14:textId="72D6DD41"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3C061B" w:rsidRPr="001E02F4">
        <w:rPr>
          <w:rStyle w:val="FootnoteTextChar"/>
        </w:rPr>
        <w:t xml:space="preserve">Institute for Legal Reform. “ILR Briefly: A Bad Match: Illinois and the Biometric Information Privacy Act - ILR.” ILR, October 12, 2021. </w:t>
      </w:r>
      <w:hyperlink r:id="rId97" w:history="1">
        <w:r w:rsidR="003C061B" w:rsidRPr="001E02F4">
          <w:rPr>
            <w:rStyle w:val="FootnoteTextChar"/>
          </w:rPr>
          <w:t>https://instituteforlegalreform.com/research/ilr-briefly-a-bad-match-illinois-and-the-biometric-information-privacy-act/</w:t>
        </w:r>
      </w:hyperlink>
      <w:r w:rsidR="003C061B" w:rsidRPr="001E02F4">
        <w:rPr>
          <w:rStyle w:val="FootnoteTextChar"/>
        </w:rPr>
        <w:t>.</w:t>
      </w:r>
    </w:p>
  </w:footnote>
  <w:footnote w:id="130">
    <w:p w14:paraId="01CDCFB9" w14:textId="0F988FAD" w:rsidR="000A6003" w:rsidRPr="003C061B" w:rsidRDefault="009D0F65">
      <w:pPr>
        <w:rPr>
          <w:sz w:val="20"/>
          <w:szCs w:val="20"/>
        </w:rPr>
      </w:pPr>
      <w:r w:rsidRPr="001E02F4">
        <w:rPr>
          <w:sz w:val="18"/>
          <w:szCs w:val="18"/>
          <w:vertAlign w:val="superscript"/>
        </w:rPr>
        <w:footnoteRef/>
      </w:r>
      <w:r w:rsidRPr="001E02F4">
        <w:rPr>
          <w:sz w:val="18"/>
          <w:szCs w:val="18"/>
        </w:rPr>
        <w:t xml:space="preserve"> </w:t>
      </w:r>
      <w:r w:rsidR="003C061B" w:rsidRPr="001E02F4">
        <w:rPr>
          <w:sz w:val="18"/>
          <w:szCs w:val="18"/>
        </w:rPr>
        <w:t>“</w:t>
      </w:r>
      <w:r w:rsidR="003C061B" w:rsidRPr="001E02F4">
        <w:rPr>
          <w:rStyle w:val="FootnoteTextChar"/>
        </w:rPr>
        <w:t xml:space="preserve">Biometric Information Privacy Act.” Illinois General Assembly, October 3, 2008. </w:t>
      </w:r>
      <w:hyperlink r:id="rId98" w:history="1">
        <w:r w:rsidR="003C061B" w:rsidRPr="001E02F4">
          <w:rPr>
            <w:rStyle w:val="FootnoteTextChar"/>
          </w:rPr>
          <w:t>https://www.ilga.gov/legislation/ilcs/ilcs3.asp?ActID=3004&amp;ChapterID=57</w:t>
        </w:r>
      </w:hyperlink>
      <w:r w:rsidR="003C061B" w:rsidRPr="001E02F4">
        <w:rPr>
          <w:rStyle w:val="FootnoteTextChar"/>
        </w:rPr>
        <w:t>.</w:t>
      </w:r>
    </w:p>
  </w:footnote>
  <w:footnote w:id="131">
    <w:p w14:paraId="4FA6A933" w14:textId="18DE8578"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1E02F4" w:rsidRPr="001E02F4">
        <w:rPr>
          <w:sz w:val="18"/>
          <w:szCs w:val="18"/>
        </w:rPr>
        <w:t>Sherman, Justin. “India’s New Data Bill Is a Mixed Bag for Privacy.” Atlantic Council, November 23, 2022. https://www.atlanticcouncil.org/blogs/southasiasource/indias-new-data-bill-is-a-mixed-bag-for-privacy/.</w:t>
      </w:r>
    </w:p>
  </w:footnote>
  <w:footnote w:id="132">
    <w:p w14:paraId="47B5DDD3" w14:textId="7AFE4518"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3C061B" w:rsidRPr="001E02F4">
        <w:rPr>
          <w:rStyle w:val="FootnoteTextChar"/>
        </w:rPr>
        <w:t xml:space="preserve">Mathi, Sarvesh. “Data Protection Bill Legitimises Surveillance, Govt Has No Intent of Reforms: Stakeholders #NAMA.” MediaNama, December 20, 2022. </w:t>
      </w:r>
      <w:hyperlink r:id="rId99" w:history="1">
        <w:r w:rsidR="003C061B" w:rsidRPr="001E02F4">
          <w:rPr>
            <w:rStyle w:val="FootnoteTextChar"/>
          </w:rPr>
          <w:t>https://www.medianama.com/2022/12/223-dpdp-bill-2022-enables-govt-surveillance-discussion/</w:t>
        </w:r>
      </w:hyperlink>
      <w:r w:rsidR="003C061B" w:rsidRPr="001E02F4">
        <w:rPr>
          <w:rStyle w:val="FootnoteTextChar"/>
        </w:rPr>
        <w:t>.</w:t>
      </w:r>
    </w:p>
  </w:footnote>
  <w:footnote w:id="133">
    <w:p w14:paraId="270BBF65" w14:textId="232E2D54"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3C061B" w:rsidRPr="001E02F4">
        <w:rPr>
          <w:rStyle w:val="FootnoteTextChar"/>
        </w:rPr>
        <w:t xml:space="preserve">Nandle, Ravin. “India's Digital Personal Data Protection Bill 2022: Does It Overhaul the Former PDPB?” International Association of Privacy Professionals, November 22, 2022. </w:t>
      </w:r>
      <w:hyperlink r:id="rId100" w:history="1">
        <w:r w:rsidR="003C061B" w:rsidRPr="001E02F4">
          <w:rPr>
            <w:rStyle w:val="FootnoteTextChar"/>
          </w:rPr>
          <w:t>https://iapp.org/news/a/indias-digital-personal-data-protection-bill-2022-does-it-overhaul-the-former-pdpb/</w:t>
        </w:r>
      </w:hyperlink>
      <w:r w:rsidR="003C061B" w:rsidRPr="001E02F4">
        <w:rPr>
          <w:rStyle w:val="FootnoteTextChar"/>
        </w:rPr>
        <w:t>.</w:t>
      </w:r>
    </w:p>
  </w:footnote>
  <w:footnote w:id="134">
    <w:p w14:paraId="08BA5412" w14:textId="07202F3F" w:rsidR="000A6003" w:rsidRPr="00885061" w:rsidRDefault="009D0F65">
      <w:pPr>
        <w:rPr>
          <w:sz w:val="20"/>
          <w:szCs w:val="20"/>
        </w:rPr>
      </w:pPr>
      <w:r w:rsidRPr="001E02F4">
        <w:rPr>
          <w:sz w:val="18"/>
          <w:szCs w:val="18"/>
          <w:vertAlign w:val="superscript"/>
        </w:rPr>
        <w:footnoteRef/>
      </w:r>
      <w:r w:rsidRPr="001E02F4">
        <w:rPr>
          <w:sz w:val="18"/>
          <w:szCs w:val="18"/>
        </w:rPr>
        <w:t xml:space="preserve"> </w:t>
      </w:r>
      <w:r w:rsidR="00885061" w:rsidRPr="001E02F4">
        <w:rPr>
          <w:rStyle w:val="FootnoteTextChar"/>
        </w:rPr>
        <w:t xml:space="preserve">Lim, Chong Kin. “Singapore - Data Protection Overview.” OneTrust DataGuidance, May 2022. </w:t>
      </w:r>
      <w:hyperlink r:id="rId101" w:history="1">
        <w:r w:rsidR="00885061" w:rsidRPr="001E02F4">
          <w:rPr>
            <w:rStyle w:val="FootnoteTextChar"/>
          </w:rPr>
          <w:t>https://www.dataguidance.com/notes/singapore-data-protection-overview</w:t>
        </w:r>
      </w:hyperlink>
      <w:r w:rsidR="00885061" w:rsidRPr="001E02F4">
        <w:rPr>
          <w:rStyle w:val="FootnoteTextChar"/>
        </w:rPr>
        <w:t>.</w:t>
      </w:r>
    </w:p>
  </w:footnote>
  <w:footnote w:id="135">
    <w:p w14:paraId="6F37E9DD" w14:textId="245FB223"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885061" w:rsidRPr="001E02F4">
        <w:rPr>
          <w:rFonts w:ascii="Times New Roman" w:hAnsi="Times New Roman"/>
          <w:sz w:val="18"/>
          <w:szCs w:val="18"/>
        </w:rPr>
        <w:t xml:space="preserve"> </w:t>
      </w:r>
      <w:r w:rsidR="00885061" w:rsidRPr="001E02F4">
        <w:rPr>
          <w:rStyle w:val="FootnoteTextChar"/>
        </w:rPr>
        <w:t xml:space="preserve">Government of Singapore, Smart Nation and Digital Government Office (SNDGO). "Government’s Personal Data Protection Laws And Policies.” Accessed April 1, 2023. </w:t>
      </w:r>
      <w:hyperlink r:id="rId102" w:history="1">
        <w:r w:rsidR="00885061" w:rsidRPr="001E02F4">
          <w:rPr>
            <w:rStyle w:val="FootnoteTextChar"/>
          </w:rPr>
          <w:t>https://www.smartnation.gov.sg/about-smart-nation/secure-smart-nation/personal-data-protection-laws-and-policies</w:t>
        </w:r>
      </w:hyperlink>
      <w:r w:rsidR="00C65BEF">
        <w:rPr>
          <w:rStyle w:val="FootnoteTextChar"/>
        </w:rPr>
        <w:t xml:space="preserve">. </w:t>
      </w:r>
      <w:r w:rsidR="00C65BEF">
        <w:rPr>
          <w:sz w:val="18"/>
          <w:szCs w:val="18"/>
        </w:rPr>
        <w:t xml:space="preserve"> </w:t>
      </w:r>
    </w:p>
  </w:footnote>
  <w:footnote w:id="136">
    <w:p w14:paraId="4F13AD62" w14:textId="15A15786"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885061" w:rsidRPr="001E02F4">
        <w:rPr>
          <w:rStyle w:val="FootnoteTextChar"/>
        </w:rPr>
        <w:t xml:space="preserve">Singapore Management University Newsroom. “Where Does Privacy Stand in This Age of Social Media and Data Breaches?,” May 13, 2019. </w:t>
      </w:r>
      <w:hyperlink r:id="rId103" w:history="1">
        <w:r w:rsidR="00885061" w:rsidRPr="001E02F4">
          <w:rPr>
            <w:rStyle w:val="FootnoteTextChar"/>
          </w:rPr>
          <w:t>https://news.smu.edu.sg/news/2019/05/13/where-does-privacy-stand-age-social-media-and-data-breaches</w:t>
        </w:r>
      </w:hyperlink>
      <w:r w:rsidR="00885061" w:rsidRPr="001E02F4">
        <w:rPr>
          <w:rStyle w:val="FootnoteTextChar"/>
        </w:rPr>
        <w:t>.</w:t>
      </w:r>
    </w:p>
  </w:footnote>
  <w:footnote w:id="137">
    <w:p w14:paraId="40EF6A3C" w14:textId="07FA9F01" w:rsidR="000A6003" w:rsidRPr="001E02F4" w:rsidRDefault="009D0F65">
      <w:pPr>
        <w:rPr>
          <w:sz w:val="18"/>
          <w:szCs w:val="18"/>
        </w:rPr>
      </w:pPr>
      <w:r w:rsidRPr="001E02F4">
        <w:rPr>
          <w:sz w:val="18"/>
          <w:szCs w:val="18"/>
          <w:vertAlign w:val="superscript"/>
        </w:rPr>
        <w:footnoteRef/>
      </w:r>
      <w:r w:rsidRPr="001E02F4">
        <w:rPr>
          <w:sz w:val="18"/>
          <w:szCs w:val="18"/>
        </w:rPr>
        <w:t xml:space="preserve"> </w:t>
      </w:r>
      <w:r w:rsidR="00885061" w:rsidRPr="001E02F4">
        <w:rPr>
          <w:rStyle w:val="FootnoteTextChar"/>
        </w:rPr>
        <w:t xml:space="preserve">Choo, Julia, and Anngee Neo. “The Use and Abuse of Personal Data by the PAP Government.” New Naratif, June 7, 2022. </w:t>
      </w:r>
      <w:hyperlink r:id="rId104" w:history="1">
        <w:r w:rsidR="00885061" w:rsidRPr="001E02F4">
          <w:rPr>
            <w:rStyle w:val="FootnoteTextChar"/>
          </w:rPr>
          <w:t>https://newnaratif.com/the-use-and-abuse-of-personal-data-by-the-pap-government/</w:t>
        </w:r>
      </w:hyperlink>
      <w:r w:rsidR="00885061" w:rsidRPr="001E02F4">
        <w:rPr>
          <w:rStyle w:val="FootnoteTextChar"/>
        </w:rPr>
        <w:t>.</w:t>
      </w:r>
    </w:p>
  </w:footnote>
  <w:footnote w:id="138">
    <w:p w14:paraId="3BCB4D46" w14:textId="0ADD0FEB" w:rsidR="000A6003" w:rsidRPr="00885061" w:rsidRDefault="009D0F65">
      <w:pPr>
        <w:rPr>
          <w:sz w:val="20"/>
          <w:szCs w:val="20"/>
        </w:rPr>
      </w:pPr>
      <w:r w:rsidRPr="001E02F4">
        <w:rPr>
          <w:sz w:val="18"/>
          <w:szCs w:val="18"/>
          <w:vertAlign w:val="superscript"/>
        </w:rPr>
        <w:footnoteRef/>
      </w:r>
      <w:r w:rsidRPr="001E02F4">
        <w:rPr>
          <w:sz w:val="18"/>
          <w:szCs w:val="18"/>
        </w:rPr>
        <w:t xml:space="preserve"> F</w:t>
      </w:r>
      <w:r w:rsidRPr="001E02F4">
        <w:rPr>
          <w:rStyle w:val="FootnoteTextChar"/>
        </w:rPr>
        <w:t xml:space="preserve">or more on how NIS2 and GDPR relate to each other, see </w:t>
      </w:r>
      <w:r w:rsidR="00885061" w:rsidRPr="001E02F4">
        <w:rPr>
          <w:rStyle w:val="FootnoteTextChar"/>
        </w:rPr>
        <w:t xml:space="preserve">Perray, Romain, and Pilar Arzuaga. “Regulating Cybersecurity across the EU and the UK - McDermott Will &amp; Emery.” McDermott Will &amp; Emery, January 2023. </w:t>
      </w:r>
      <w:hyperlink r:id="rId105" w:history="1">
        <w:r w:rsidR="00885061" w:rsidRPr="001E02F4">
          <w:rPr>
            <w:rStyle w:val="FootnoteTextChar"/>
          </w:rPr>
          <w:t>https://www.mwe.com/insights/regulating-cybersecurity-across-the-eu-and-the-uk/</w:t>
        </w:r>
      </w:hyperlink>
      <w:r w:rsidR="00885061" w:rsidRPr="001E02F4">
        <w:rPr>
          <w:rStyle w:val="FootnoteTextChar"/>
        </w:rPr>
        <w:t>.</w:t>
      </w:r>
    </w:p>
  </w:footnote>
  <w:footnote w:id="139">
    <w:p w14:paraId="0160493B" w14:textId="1F5312F6" w:rsidR="000A6003" w:rsidRPr="001E02F4" w:rsidRDefault="009D0F65">
      <w:pPr>
        <w:rPr>
          <w:rStyle w:val="FootnoteTextChar"/>
        </w:rPr>
      </w:pPr>
      <w:r w:rsidRPr="001E02F4">
        <w:rPr>
          <w:sz w:val="18"/>
          <w:szCs w:val="18"/>
          <w:vertAlign w:val="superscript"/>
        </w:rPr>
        <w:footnoteRef/>
      </w:r>
      <w:r w:rsidRPr="001E02F4">
        <w:rPr>
          <w:sz w:val="18"/>
          <w:szCs w:val="18"/>
        </w:rPr>
        <w:t xml:space="preserve"> </w:t>
      </w:r>
      <w:r w:rsidR="00C33D66" w:rsidRPr="001E02F4">
        <w:rPr>
          <w:rStyle w:val="FootnoteTextChar"/>
        </w:rPr>
        <w:t xml:space="preserve">Anokhy Desai. “US State Privacy Legislation Tracker.” IAPP Resource Center, March 31, 2023. International Association of Privacy Professionals. Accessed April 1, 2023. </w:t>
      </w:r>
      <w:hyperlink r:id="rId106" w:history="1">
        <w:r w:rsidR="00C33D66" w:rsidRPr="001E02F4">
          <w:rPr>
            <w:rStyle w:val="FootnoteTextChar"/>
          </w:rPr>
          <w:t>https://iapp.org/resources/article/us-state-privacy-legislation-tracker/</w:t>
        </w:r>
      </w:hyperlink>
      <w:r w:rsidR="00C33D66" w:rsidRPr="001E02F4">
        <w:rPr>
          <w:rStyle w:val="FootnoteTextChar"/>
        </w:rPr>
        <w:t>.</w:t>
      </w:r>
    </w:p>
  </w:footnote>
  <w:footnote w:id="140">
    <w:p w14:paraId="0F1F40C4" w14:textId="77777777" w:rsidR="008F02B7" w:rsidRPr="00C33D66" w:rsidRDefault="008F02B7" w:rsidP="008F02B7">
      <w:pPr>
        <w:rPr>
          <w:sz w:val="20"/>
          <w:szCs w:val="20"/>
        </w:rPr>
      </w:pPr>
      <w:r w:rsidRPr="001E02F4">
        <w:rPr>
          <w:sz w:val="18"/>
          <w:szCs w:val="18"/>
          <w:vertAlign w:val="superscript"/>
        </w:rPr>
        <w:footnoteRef/>
      </w:r>
      <w:r w:rsidRPr="001E02F4">
        <w:rPr>
          <w:sz w:val="18"/>
          <w:szCs w:val="18"/>
        </w:rPr>
        <w:t xml:space="preserve"> </w:t>
      </w:r>
      <w:proofErr w:type="spellStart"/>
      <w:r w:rsidRPr="001E02F4">
        <w:rPr>
          <w:rStyle w:val="FootnoteTextChar"/>
        </w:rPr>
        <w:t>Pavur</w:t>
      </w:r>
      <w:proofErr w:type="spellEnd"/>
      <w:r w:rsidRPr="001E02F4">
        <w:rPr>
          <w:rStyle w:val="FootnoteTextChar"/>
        </w:rPr>
        <w:t xml:space="preserve">, James, and Casey Knerr. “GDPArrrrr: Using Privacy Laws to Steal Identities.” Blackhat USA 2019 Whitepaper, 2019. </w:t>
      </w:r>
      <w:hyperlink r:id="rId107" w:history="1">
        <w:r w:rsidRPr="001E02F4">
          <w:rPr>
            <w:rStyle w:val="FootnoteTextChar"/>
          </w:rPr>
          <w:t>https://i.blackhat.com/USA-19/Thursday/us-19-Pavur-GDPArrrrr-Using-Privacy-Laws-To-Steal-Identities-wp.pdf</w:t>
        </w:r>
      </w:hyperlink>
      <w:r w:rsidRPr="001E02F4">
        <w:rPr>
          <w:rStyle w:val="FootnoteTextChar"/>
        </w:rPr>
        <w:t>.</w:t>
      </w:r>
    </w:p>
  </w:footnote>
  <w:footnote w:id="141">
    <w:p w14:paraId="4456A254" w14:textId="2F4BFA53" w:rsidR="000A6003" w:rsidRPr="001E02F4" w:rsidRDefault="009D0F65" w:rsidP="00947677">
      <w:pPr>
        <w:rPr>
          <w:rStyle w:val="FootnoteTextChar"/>
        </w:rPr>
      </w:pPr>
      <w:r w:rsidRPr="001E02F4">
        <w:rPr>
          <w:sz w:val="18"/>
          <w:szCs w:val="18"/>
          <w:vertAlign w:val="superscript"/>
        </w:rPr>
        <w:footnoteRef/>
      </w:r>
      <w:r w:rsidRPr="001E02F4">
        <w:rPr>
          <w:sz w:val="18"/>
          <w:szCs w:val="18"/>
        </w:rPr>
        <w:t xml:space="preserve"> </w:t>
      </w:r>
      <w:r w:rsidRPr="001E02F4">
        <w:rPr>
          <w:rStyle w:val="FootnoteTextChar"/>
        </w:rPr>
        <w:t>See for example page 120</w:t>
      </w:r>
      <w:r w:rsidR="00947677" w:rsidRPr="001E02F4">
        <w:rPr>
          <w:rStyle w:val="FootnoteTextChar"/>
        </w:rPr>
        <w:t xml:space="preserve"> of the</w:t>
      </w:r>
      <w:r w:rsidRPr="001E02F4">
        <w:rPr>
          <w:rStyle w:val="FootnoteTextChar"/>
        </w:rPr>
        <w:t xml:space="preserve"> </w:t>
      </w:r>
      <w:r w:rsidR="00947677" w:rsidRPr="001E02F4">
        <w:rPr>
          <w:rStyle w:val="FootnoteTextChar"/>
        </w:rPr>
        <w:t xml:space="preserve">United Nations. “E-Government Survey 2022: The Future of Digital Government.” United Nations, 2022. </w:t>
      </w:r>
      <w:hyperlink r:id="rId108" w:history="1">
        <w:r w:rsidR="00947677" w:rsidRPr="001E02F4">
          <w:rPr>
            <w:rStyle w:val="FootnoteTextChar"/>
          </w:rPr>
          <w:t>https://publicadministration.un.org/egovkb/en-us/Reports/UN-E-Government-Survey-2022</w:t>
        </w:r>
      </w:hyperlink>
      <w:r w:rsidR="00947677" w:rsidRPr="001E02F4">
        <w:rPr>
          <w:rStyle w:val="FootnoteTextChar"/>
        </w:rPr>
        <w:t>.</w:t>
      </w:r>
    </w:p>
  </w:footnote>
  <w:footnote w:id="142">
    <w:p w14:paraId="073CBD71" w14:textId="008B8AF3" w:rsidR="004239F3" w:rsidRPr="004239F3" w:rsidRDefault="004239F3">
      <w:pPr>
        <w:pStyle w:val="FootnoteText"/>
      </w:pPr>
      <w:r>
        <w:rPr>
          <w:rStyle w:val="FootnoteReference"/>
        </w:rPr>
        <w:footnoteRef/>
      </w:r>
      <w:r>
        <w:t xml:space="preserve"> A general example of this is the work-in-progress of browser vendors as they look to intermediate web-based authentication and authorization flows in order to register user consent for a federated login transaction. See the work under discussion in the W3C Federated Identity Community Group. </w:t>
      </w:r>
      <w:r w:rsidRPr="004239F3">
        <w:t>World Wide Web Consortium. “Federated Identity Community Group.” Accessed April 2, 2023. https://www.w3.org/community/fed-id/.</w:t>
      </w:r>
    </w:p>
  </w:footnote>
  <w:footnote w:id="143">
    <w:p w14:paraId="1FB35058" w14:textId="12851E57" w:rsidR="00694EAE" w:rsidRPr="00694EAE" w:rsidRDefault="00694EAE" w:rsidP="00694EAE">
      <w:pPr>
        <w:pStyle w:val="FootnoteText"/>
      </w:pPr>
      <w:r>
        <w:rPr>
          <w:rStyle w:val="FootnoteReference"/>
        </w:rPr>
        <w:footnoteRef/>
      </w:r>
      <w:r w:rsidR="00BA3673">
        <w:t xml:space="preserve"> See NIS2 </w:t>
      </w:r>
      <w:hyperlink r:id="rId109" w:history="1">
        <w:r w:rsidR="00BA3673" w:rsidRPr="007A0BB5">
          <w:rPr>
            <w:rStyle w:val="FootnoteTextChar"/>
            <w:szCs w:val="18"/>
          </w:rPr>
          <w:t>http://data.europa.eu/eli/dir/2022/2555/oj</w:t>
        </w:r>
      </w:hyperlink>
      <w:r w:rsidR="00BA3673">
        <w:t>, the</w:t>
      </w:r>
      <w:r w:rsidR="00BA3673" w:rsidRPr="00BA3673">
        <w:rPr>
          <w:rFonts w:ascii="Times New Roman" w:hAnsi="Times New Roman"/>
          <w:sz w:val="24"/>
          <w:szCs w:val="24"/>
        </w:rPr>
        <w:t xml:space="preserve"> </w:t>
      </w:r>
      <w:r w:rsidR="00BA3673" w:rsidRPr="00BA3673">
        <w:t xml:space="preserve">National Institute of Standards and Technology. “Cybersecurity Framework | NIST.” NIST. Accessed April 2, 2023. </w:t>
      </w:r>
      <w:hyperlink r:id="rId110" w:history="1">
        <w:r w:rsidR="00BA3673" w:rsidRPr="009B4828">
          <w:rPr>
            <w:rStyle w:val="Hyperlink"/>
          </w:rPr>
          <w:t>https://www.nist.gov/cyberframework</w:t>
        </w:r>
      </w:hyperlink>
      <w:r w:rsidR="00BA3673">
        <w:t>, and the</w:t>
      </w:r>
      <w:r>
        <w:t xml:space="preserve"> European Commission</w:t>
      </w:r>
      <w:r w:rsidRPr="00694EAE">
        <w:t>. “Cyber Resilience Act.” Shaping Europe’s Digital Future, September 15, 2022. https://digital-strategy.ec.europa.eu/en/library/cyber-resilience-act.</w:t>
      </w:r>
    </w:p>
    <w:p w14:paraId="3CE62A33" w14:textId="3D1DFAB7" w:rsidR="00694EAE" w:rsidRPr="00694EAE" w:rsidRDefault="00694EAE">
      <w:pPr>
        <w:pStyle w:val="FootnoteText"/>
      </w:pPr>
    </w:p>
  </w:footnote>
  <w:footnote w:id="144">
    <w:p w14:paraId="4A9E4D5A" w14:textId="30C91674" w:rsidR="000A6003" w:rsidRPr="00AD0713" w:rsidRDefault="009D0F65">
      <w:pPr>
        <w:rPr>
          <w:sz w:val="18"/>
          <w:szCs w:val="18"/>
        </w:rPr>
      </w:pPr>
      <w:r w:rsidRPr="00AD0713">
        <w:rPr>
          <w:sz w:val="18"/>
          <w:szCs w:val="18"/>
          <w:vertAlign w:val="superscript"/>
        </w:rPr>
        <w:footnoteRef/>
      </w:r>
      <w:r w:rsidRPr="00AD0713">
        <w:rPr>
          <w:sz w:val="18"/>
          <w:szCs w:val="18"/>
        </w:rPr>
        <w:t xml:space="preserve"> For more information, see </w:t>
      </w:r>
      <w:r w:rsidR="00AD0713" w:rsidRPr="00AD0713">
        <w:rPr>
          <w:sz w:val="18"/>
          <w:szCs w:val="18"/>
        </w:rPr>
        <w:t>Cate, Fred H. and Mayer-Schönberger, Viktor, "Notice and Consent in a World of Big Data" (2013). Articles by Maurer Faculty. 2662. https://www.repository.law.indiana.edu/facpub/2662</w:t>
      </w:r>
      <w:r w:rsidR="00AD0713">
        <w:rPr>
          <w:sz w:val="18"/>
          <w:szCs w:val="18"/>
        </w:rPr>
        <w:t>.</w:t>
      </w:r>
    </w:p>
  </w:footnote>
  <w:footnote w:id="145">
    <w:p w14:paraId="6365738D" w14:textId="5976FD42" w:rsidR="00B9690A" w:rsidRPr="00B9690A" w:rsidRDefault="00B9690A">
      <w:pPr>
        <w:pStyle w:val="FootnoteText"/>
      </w:pPr>
      <w:r>
        <w:rPr>
          <w:rStyle w:val="FootnoteReference"/>
        </w:rPr>
        <w:footnoteRef/>
      </w:r>
      <w:r>
        <w:t xml:space="preserve"> See for example AAMVA’s mDL implementation guidelines and the specific guidance on Data Minimization and Selective Disclosure. </w:t>
      </w:r>
      <w:r w:rsidRPr="00B9690A">
        <w:t>AAMVA. “Mobile Driver’s License Implementation Guidelines 1.2 - American Association of Motor Vehicle Administrators - AAMVA,” January 2023</w:t>
      </w:r>
      <w:r>
        <w:t xml:space="preserve">, pp 27-29. </w:t>
      </w:r>
      <w:r w:rsidRPr="00B9690A">
        <w:t>https://www.aamva.org/assets/best-practices,-guides,-standards,-manuals,-whitepapers/mobile-driver-s-license-implementation-guidelines-1-2.</w:t>
      </w:r>
    </w:p>
  </w:footnote>
  <w:footnote w:id="146">
    <w:p w14:paraId="03251804" w14:textId="0E4DA043" w:rsidR="00B9690A" w:rsidRPr="00B9690A" w:rsidRDefault="00B9690A">
      <w:pPr>
        <w:pStyle w:val="FootnoteText"/>
      </w:pPr>
      <w:r>
        <w:rPr>
          <w:rStyle w:val="FootnoteReference"/>
        </w:rPr>
        <w:footnoteRef/>
      </w:r>
      <w:r>
        <w:t xml:space="preserve"> See </w:t>
      </w:r>
      <w:r w:rsidRPr="00750FE5">
        <w:rPr>
          <w:szCs w:val="18"/>
        </w:rPr>
        <w:t>Government of Singapore. “Singpass.” GitHub. Accessed April 2, 2023. https://github.com/singpass.</w:t>
      </w:r>
    </w:p>
  </w:footnote>
  <w:footnote w:id="147">
    <w:p w14:paraId="360A518F" w14:textId="0B57AD39" w:rsidR="000A6003" w:rsidRPr="00750FE5" w:rsidRDefault="009D0F65">
      <w:pPr>
        <w:rPr>
          <w:sz w:val="18"/>
          <w:szCs w:val="18"/>
        </w:rPr>
      </w:pPr>
      <w:r w:rsidRPr="00750FE5">
        <w:rPr>
          <w:sz w:val="18"/>
          <w:szCs w:val="18"/>
          <w:vertAlign w:val="superscript"/>
        </w:rPr>
        <w:footnoteRef/>
      </w:r>
      <w:r w:rsidRPr="00750FE5">
        <w:rPr>
          <w:sz w:val="18"/>
          <w:szCs w:val="18"/>
        </w:rPr>
        <w:t xml:space="preserve"> </w:t>
      </w:r>
      <w:r w:rsidR="00AD0713" w:rsidRPr="00750FE5">
        <w:rPr>
          <w:sz w:val="18"/>
          <w:szCs w:val="18"/>
        </w:rPr>
        <w:t>Privacy International. “ID Systems Analysed: Aadhaar,” November 19, 2021. https://privacyinternational.org/case-study/4698/id-systems-analysed-aadhaar.</w:t>
      </w:r>
    </w:p>
  </w:footnote>
  <w:footnote w:id="148">
    <w:p w14:paraId="44E7A8F3" w14:textId="7C8898D3" w:rsidR="000A6003" w:rsidRPr="00750FE5" w:rsidRDefault="009D0F65">
      <w:pPr>
        <w:rPr>
          <w:sz w:val="18"/>
          <w:szCs w:val="18"/>
        </w:rPr>
      </w:pPr>
      <w:r w:rsidRPr="00750FE5">
        <w:rPr>
          <w:sz w:val="18"/>
          <w:szCs w:val="18"/>
          <w:vertAlign w:val="superscript"/>
        </w:rPr>
        <w:footnoteRef/>
      </w:r>
      <w:r w:rsidRPr="00750FE5">
        <w:rPr>
          <w:sz w:val="18"/>
          <w:szCs w:val="18"/>
        </w:rPr>
        <w:t xml:space="preserve"> </w:t>
      </w:r>
      <w:r w:rsidR="00AD0713" w:rsidRPr="00750FE5">
        <w:rPr>
          <w:sz w:val="18"/>
          <w:szCs w:val="18"/>
        </w:rPr>
        <w:t>“Singpass.” https://github.com/singpass.</w:t>
      </w:r>
    </w:p>
  </w:footnote>
  <w:footnote w:id="149">
    <w:p w14:paraId="06494F7E" w14:textId="0F1CBC3A" w:rsidR="000A6003" w:rsidRPr="00750FE5" w:rsidRDefault="009D0F65">
      <w:pPr>
        <w:rPr>
          <w:sz w:val="18"/>
          <w:szCs w:val="18"/>
        </w:rPr>
      </w:pPr>
      <w:r w:rsidRPr="00750FE5">
        <w:rPr>
          <w:sz w:val="18"/>
          <w:szCs w:val="18"/>
          <w:vertAlign w:val="superscript"/>
        </w:rPr>
        <w:footnoteRef/>
      </w:r>
      <w:r w:rsidRPr="00750FE5">
        <w:rPr>
          <w:sz w:val="18"/>
          <w:szCs w:val="18"/>
        </w:rPr>
        <w:t xml:space="preserve"> </w:t>
      </w:r>
      <w:r w:rsidR="00750FE5" w:rsidRPr="00750FE5">
        <w:rPr>
          <w:sz w:val="18"/>
          <w:szCs w:val="18"/>
        </w:rPr>
        <w:t>State of California. “Frequently Asked Questions (FAQs) - California Privacy Protection Agency (CPPA).” Accessed April 2, 2023. https://cppa.ca.gov/faq.html.</w:t>
      </w:r>
    </w:p>
  </w:footnote>
  <w:footnote w:id="150">
    <w:p w14:paraId="457B46C0" w14:textId="04E37CE0" w:rsidR="000A6003" w:rsidRPr="00750FE5" w:rsidRDefault="009D0F65">
      <w:pPr>
        <w:rPr>
          <w:sz w:val="20"/>
          <w:szCs w:val="20"/>
        </w:rPr>
      </w:pPr>
      <w:r w:rsidRPr="00750FE5">
        <w:rPr>
          <w:sz w:val="18"/>
          <w:szCs w:val="18"/>
          <w:vertAlign w:val="superscript"/>
        </w:rPr>
        <w:footnoteRef/>
      </w:r>
      <w:r w:rsidRPr="00750FE5">
        <w:rPr>
          <w:sz w:val="18"/>
          <w:szCs w:val="18"/>
        </w:rPr>
        <w:t xml:space="preserve"> </w:t>
      </w:r>
      <w:r w:rsidR="00750FE5" w:rsidRPr="00750FE5">
        <w:rPr>
          <w:sz w:val="18"/>
          <w:szCs w:val="18"/>
        </w:rPr>
        <w:t>Personal Data Protection Commission Singapore. “PDPC | Accountability.” Accessed April 2, 2023. https://www.pdpc.gov.sg/accountability.</w:t>
      </w:r>
    </w:p>
  </w:footnote>
  <w:footnote w:id="151">
    <w:p w14:paraId="087BC89F" w14:textId="19F3AE2F" w:rsidR="00383F02" w:rsidRPr="00383F02" w:rsidRDefault="00383F02">
      <w:pPr>
        <w:pStyle w:val="FootnoteText"/>
      </w:pPr>
      <w:r>
        <w:rPr>
          <w:rStyle w:val="FootnoteReference"/>
        </w:rPr>
        <w:footnoteRef/>
      </w:r>
      <w:r>
        <w:t xml:space="preserve"> See for example the information on LGBTQ+ and points on data collection in </w:t>
      </w:r>
      <w:r w:rsidRPr="00383F02">
        <w:t xml:space="preserve">Executive Office of the President. “Advancing Equality for Lesbian, Gay, Bisexual, Transgender, Queer, and Intersex Individuals.” </w:t>
      </w:r>
      <w:r w:rsidRPr="00383F02">
        <w:rPr>
          <w:i/>
          <w:iCs/>
        </w:rPr>
        <w:t>Federal Register - the Daily Journal of the United States Federal Government</w:t>
      </w:r>
      <w:r w:rsidRPr="00383F02">
        <w:t>, June 15, 2022. https://www.federalregister.gov/documents/2022/06/21/2022-13391/advancing-equality-for-lesbian-gay-bisexual-transgender-queer-and-intersex-individuals.</w:t>
      </w:r>
    </w:p>
  </w:footnote>
  <w:footnote w:id="152">
    <w:p w14:paraId="25561383" w14:textId="77777777" w:rsidR="000A6003" w:rsidRPr="00750FE5" w:rsidRDefault="009D0F65">
      <w:pPr>
        <w:rPr>
          <w:sz w:val="18"/>
          <w:szCs w:val="18"/>
        </w:rPr>
      </w:pPr>
      <w:r w:rsidRPr="00750FE5">
        <w:rPr>
          <w:sz w:val="18"/>
          <w:szCs w:val="18"/>
          <w:vertAlign w:val="superscript"/>
        </w:rPr>
        <w:footnoteRef/>
      </w:r>
      <w:r w:rsidRPr="00750FE5">
        <w:rPr>
          <w:sz w:val="18"/>
          <w:szCs w:val="18"/>
        </w:rPr>
        <w:t xml:space="preserve"> Force, Joint Task. “Security and Privacy Controls for Information Systems and Organizations.” CSRC, December 10, 2020. https://csrc.nist.gov/publications/detail/sp/800-53/rev-5/final.</w:t>
      </w:r>
    </w:p>
  </w:footnote>
  <w:footnote w:id="153">
    <w:p w14:paraId="7237414F" w14:textId="3C2A465F" w:rsidR="000A6003" w:rsidRPr="00750FE5" w:rsidRDefault="009D0F65">
      <w:pPr>
        <w:rPr>
          <w:sz w:val="18"/>
          <w:szCs w:val="18"/>
        </w:rPr>
      </w:pPr>
      <w:r w:rsidRPr="00750FE5">
        <w:rPr>
          <w:sz w:val="18"/>
          <w:szCs w:val="18"/>
          <w:vertAlign w:val="superscript"/>
        </w:rPr>
        <w:footnoteRef/>
      </w:r>
      <w:r w:rsidRPr="00750FE5">
        <w:rPr>
          <w:sz w:val="18"/>
          <w:szCs w:val="18"/>
        </w:rPr>
        <w:t xml:space="preserve"> </w:t>
      </w:r>
      <w:r w:rsidR="00750FE5">
        <w:rPr>
          <w:sz w:val="18"/>
          <w:szCs w:val="18"/>
        </w:rPr>
        <w:t>Government of Singapore</w:t>
      </w:r>
      <w:r w:rsidR="00750FE5" w:rsidRPr="00750FE5">
        <w:rPr>
          <w:sz w:val="18"/>
          <w:szCs w:val="18"/>
        </w:rPr>
        <w:t>. “Singpass - Principles.” Accessed April 2, 2023. https://www.singpass.gov.sg/main/principles/.</w:t>
      </w:r>
    </w:p>
  </w:footnote>
  <w:footnote w:id="154">
    <w:p w14:paraId="2DA7DC52" w14:textId="347AA5D0" w:rsidR="005A6C3E" w:rsidRPr="005A6C3E" w:rsidRDefault="005A6C3E">
      <w:pPr>
        <w:pStyle w:val="FootnoteText"/>
      </w:pPr>
      <w:r>
        <w:rPr>
          <w:rStyle w:val="FootnoteReference"/>
        </w:rPr>
        <w:footnoteRef/>
      </w:r>
      <w:r>
        <w:t xml:space="preserve"> </w:t>
      </w:r>
      <w:r w:rsidRPr="005A6C3E">
        <w:t>European Data Protection Board. “Adopted 1 Guidelines 4/2019 on Article 25 Data Protection by Design and by Default Version 2.0,” October 20, 2020</w:t>
      </w:r>
      <w:r>
        <w:t xml:space="preserve">, pp21-23. </w:t>
      </w:r>
      <w:r w:rsidRPr="005A6C3E">
        <w:t>https://edpb.europa.eu/sites/default/files/files/file1/edpb_guidelines_201904_dataprotection_by_design_and_by_default_v2.0_en.pdf.</w:t>
      </w:r>
    </w:p>
  </w:footnote>
  <w:footnote w:id="155">
    <w:p w14:paraId="4CD160CB" w14:textId="6D454D98" w:rsidR="000A6003" w:rsidRPr="00750FE5" w:rsidRDefault="009D0F65">
      <w:pPr>
        <w:rPr>
          <w:sz w:val="18"/>
          <w:szCs w:val="18"/>
        </w:rPr>
      </w:pPr>
      <w:r w:rsidRPr="00750FE5">
        <w:rPr>
          <w:sz w:val="18"/>
          <w:szCs w:val="18"/>
          <w:vertAlign w:val="superscript"/>
        </w:rPr>
        <w:footnoteRef/>
      </w:r>
      <w:r w:rsidRPr="00750FE5">
        <w:rPr>
          <w:sz w:val="18"/>
          <w:szCs w:val="18"/>
        </w:rPr>
        <w:t xml:space="preserve"> </w:t>
      </w:r>
      <w:r w:rsidR="00750FE5" w:rsidRPr="00750FE5">
        <w:rPr>
          <w:sz w:val="18"/>
          <w:szCs w:val="18"/>
        </w:rPr>
        <w:t>“Daniel Fett on Privacy-Preserving Measures and SD-JWT.” https://identityunlocked.auth0.com/public/49/Identity%2C-Unlocked.--bed7fada/3bbcbab8.</w:t>
      </w:r>
    </w:p>
  </w:footnote>
  <w:footnote w:id="156">
    <w:p w14:paraId="177B3792" w14:textId="522E277D" w:rsidR="000A6003" w:rsidRPr="00A16D52" w:rsidRDefault="009D0F65">
      <w:pPr>
        <w:rPr>
          <w:sz w:val="18"/>
          <w:szCs w:val="18"/>
        </w:rPr>
      </w:pPr>
      <w:r w:rsidRPr="00A16D52">
        <w:rPr>
          <w:sz w:val="18"/>
          <w:szCs w:val="18"/>
          <w:vertAlign w:val="superscript"/>
        </w:rPr>
        <w:footnoteRef/>
      </w:r>
      <w:r w:rsidRPr="00A16D52">
        <w:rPr>
          <w:sz w:val="18"/>
          <w:szCs w:val="18"/>
        </w:rPr>
        <w:t xml:space="preserve"> </w:t>
      </w:r>
      <w:r w:rsidR="00A16D52" w:rsidRPr="00A16D52">
        <w:rPr>
          <w:sz w:val="18"/>
          <w:szCs w:val="18"/>
        </w:rPr>
        <w:t>Tucker, Catherine. “Working Paper Algorithmic Exclusion: The Fragility of Algorithms to Sparse and Missing Data.” The Center on Regulation and Markets at Brookings, February 2023. https://www.brookings.edu/wp-content/uploads/2023/02/Algorithmic-exclusion-FINAL.pdf.</w:t>
      </w:r>
    </w:p>
  </w:footnote>
  <w:footnote w:id="157">
    <w:p w14:paraId="6D0F9E20" w14:textId="0F188D75" w:rsidR="000A6003" w:rsidRPr="00A16D52" w:rsidRDefault="009D0F65">
      <w:pPr>
        <w:rPr>
          <w:sz w:val="18"/>
          <w:szCs w:val="18"/>
        </w:rPr>
      </w:pPr>
      <w:r w:rsidRPr="00A16D52">
        <w:rPr>
          <w:sz w:val="18"/>
          <w:szCs w:val="18"/>
          <w:vertAlign w:val="superscript"/>
        </w:rPr>
        <w:footnoteRef/>
      </w:r>
      <w:r w:rsidRPr="00A16D52">
        <w:rPr>
          <w:sz w:val="18"/>
          <w:szCs w:val="18"/>
        </w:rPr>
        <w:t xml:space="preserve"> </w:t>
      </w:r>
      <w:r w:rsidR="001D4739" w:rsidRPr="00A16D52">
        <w:rPr>
          <w:rStyle w:val="FootnoteTextChar"/>
        </w:rPr>
        <w:t xml:space="preserve">Fritsch, L., Fischer-Hübner, S. (2019). Implications of Privacy &amp; Security Research for the Upcoming Battlefield of Things. Journal of Information Warfare, 17(4). Available at </w:t>
      </w:r>
      <w:hyperlink r:id="rId111" w:history="1">
        <w:r w:rsidR="001D4739" w:rsidRPr="00A16D52">
          <w:rPr>
            <w:rStyle w:val="FootnoteTextChar"/>
          </w:rPr>
          <w:t>https://www.diva-portal.org/smash/get/diva2:1306652/FULLTEXT02</w:t>
        </w:r>
      </w:hyperlink>
    </w:p>
  </w:footnote>
  <w:footnote w:id="158">
    <w:p w14:paraId="0B321369" w14:textId="38422E68" w:rsidR="000A6003" w:rsidRPr="00A16D52" w:rsidRDefault="009D0F65">
      <w:pPr>
        <w:rPr>
          <w:sz w:val="18"/>
          <w:szCs w:val="18"/>
        </w:rPr>
      </w:pPr>
      <w:r w:rsidRPr="00A16D52">
        <w:rPr>
          <w:sz w:val="18"/>
          <w:szCs w:val="18"/>
          <w:vertAlign w:val="superscript"/>
        </w:rPr>
        <w:footnoteRef/>
      </w:r>
      <w:r w:rsidRPr="00A16D52">
        <w:rPr>
          <w:sz w:val="18"/>
          <w:szCs w:val="18"/>
        </w:rPr>
        <w:t xml:space="preserve"> </w:t>
      </w:r>
      <w:r w:rsidR="001D4739" w:rsidRPr="00A16D52">
        <w:rPr>
          <w:sz w:val="18"/>
          <w:szCs w:val="18"/>
        </w:rPr>
        <w:t xml:space="preserve">ibid , </w:t>
      </w:r>
      <w:r w:rsidRPr="00A16D52">
        <w:rPr>
          <w:sz w:val="18"/>
          <w:szCs w:val="18"/>
        </w:rPr>
        <w:t>pp 78</w:t>
      </w:r>
      <w:r w:rsidR="001D4739" w:rsidRPr="00A16D52">
        <w:rPr>
          <w:sz w:val="18"/>
          <w:szCs w:val="18"/>
        </w:rPr>
        <w:t>.</w:t>
      </w:r>
    </w:p>
  </w:footnote>
  <w:footnote w:id="159">
    <w:p w14:paraId="693F8845" w14:textId="7591067A" w:rsidR="00F04668" w:rsidRPr="00F04668" w:rsidRDefault="00F04668">
      <w:pPr>
        <w:pStyle w:val="FootnoteText"/>
      </w:pPr>
      <w:r>
        <w:rPr>
          <w:rStyle w:val="FootnoteReference"/>
        </w:rPr>
        <w:footnoteRef/>
      </w:r>
      <w:r>
        <w:t xml:space="preserve"> </w:t>
      </w:r>
      <w:r w:rsidRPr="00F04668">
        <w:t xml:space="preserve">Frederick Dauer, “Law Enforcement in the Era of Deepfakes,” </w:t>
      </w:r>
      <w:r w:rsidRPr="00F04668">
        <w:rPr>
          <w:i/>
          <w:iCs/>
        </w:rPr>
        <w:t>Police Chief Online</w:t>
      </w:r>
      <w:r w:rsidRPr="00F04668">
        <w:t>, June 29, 2022.</w:t>
      </w:r>
    </w:p>
  </w:footnote>
  <w:footnote w:id="160">
    <w:p w14:paraId="1AABFD6C" w14:textId="450197E9" w:rsidR="008869D7" w:rsidRPr="008869D7" w:rsidRDefault="008869D7">
      <w:pPr>
        <w:pStyle w:val="FootnoteText"/>
      </w:pPr>
      <w:r>
        <w:rPr>
          <w:rStyle w:val="FootnoteReference"/>
        </w:rPr>
        <w:footnoteRef/>
      </w:r>
      <w:r>
        <w:t xml:space="preserve"> </w:t>
      </w:r>
      <w:r w:rsidRPr="008869D7">
        <w:t xml:space="preserve">“Selective Disclosure for JWTs (SD-JWT),” </w:t>
      </w:r>
      <w:hyperlink r:id="rId112" w:history="1">
        <w:r w:rsidRPr="008869D7">
          <w:t>https://datatracker.ietf.org/doc/draft-ietf-oauth-selective-disclosure-jwt/</w:t>
        </w:r>
      </w:hyperlink>
      <w:r w:rsidRPr="008869D7">
        <w:t xml:space="preserve"> and “OpenID for Verifiable Credentials,” </w:t>
      </w:r>
      <w:hyperlink r:id="rId113" w:history="1">
        <w:r w:rsidRPr="008869D7">
          <w:t>https://openid.net/openid4vc/</w:t>
        </w:r>
      </w:hyperlink>
      <w:r w:rsidRPr="008869D7">
        <w:t>.</w:t>
      </w:r>
    </w:p>
  </w:footnote>
  <w:footnote w:id="161">
    <w:p w14:paraId="2F80AFA3" w14:textId="66EDACF5" w:rsidR="00302FDC" w:rsidRPr="003E61A7" w:rsidRDefault="00302FDC">
      <w:pPr>
        <w:pStyle w:val="FootnoteText"/>
      </w:pPr>
      <w:r>
        <w:rPr>
          <w:rStyle w:val="FootnoteReference"/>
        </w:rPr>
        <w:footnoteRef/>
      </w:r>
      <w:r>
        <w:t xml:space="preserve"> </w:t>
      </w:r>
      <w:r w:rsidRPr="00302FDC">
        <w:rPr>
          <w:rFonts w:cs="Open Sans"/>
        </w:rPr>
        <w:t xml:space="preserve">Weinberger, Markus. “What Is Metaverse?—A Definition Based on Qualitative Meta-Synthesis.” </w:t>
      </w:r>
      <w:r w:rsidRPr="00302FDC">
        <w:rPr>
          <w:rFonts w:cs="Open Sans"/>
          <w:i/>
          <w:iCs/>
        </w:rPr>
        <w:t>Future Internet</w:t>
      </w:r>
      <w:r w:rsidRPr="00302FDC">
        <w:rPr>
          <w:rFonts w:cs="Open Sans"/>
        </w:rPr>
        <w:t xml:space="preserve"> 14, no. 11 (October 28, 2022): 310. https://doi.org/10.3390/fi14110310.</w:t>
      </w:r>
    </w:p>
  </w:footnote>
  <w:footnote w:id="162">
    <w:p w14:paraId="2348154D" w14:textId="3083D8D5" w:rsidR="00061055" w:rsidRPr="003E61A7" w:rsidRDefault="00061055">
      <w:pPr>
        <w:pStyle w:val="FootnoteText"/>
      </w:pPr>
      <w:r>
        <w:rPr>
          <w:rStyle w:val="FootnoteReference"/>
        </w:rPr>
        <w:footnoteRef/>
      </w:r>
      <w:r>
        <w:t xml:space="preserve"> For an interesting article on privacy and governance in the metaverse, see Fernandez, Carlos Bermejo, and Pan Hui. "Life, the Metaverse and everything: An overview of privacy, ethics, and governance in Metaverse." In </w:t>
      </w:r>
      <w:r>
        <w:rPr>
          <w:i/>
          <w:iCs/>
        </w:rPr>
        <w:t>2022 IEEE 42nd International Conference on Distributed Computing Systems Workshops (ICDCSW)</w:t>
      </w:r>
      <w:r>
        <w:t>, pp. 272-277. IEEE, 2022.</w:t>
      </w:r>
    </w:p>
  </w:footnote>
  <w:footnote w:id="163">
    <w:p w14:paraId="00B6D739" w14:textId="22347FD1" w:rsidR="005631A1" w:rsidRDefault="005631A1">
      <w:pPr>
        <w:pStyle w:val="FootnoteText"/>
      </w:pPr>
      <w:r>
        <w:rPr>
          <w:rStyle w:val="FootnoteReference"/>
        </w:rPr>
        <w:footnoteRef/>
      </w:r>
      <w:r>
        <w:t xml:space="preserve"> </w:t>
      </w:r>
      <w:r w:rsidRPr="005631A1">
        <w:t>“Concepts Overview for LLM AI.” Microsoft Learn, April 4, 2023. https://learn.microsoft.com/en-us/semantic-kernel/concepts-ai/.</w:t>
      </w:r>
    </w:p>
  </w:footnote>
  <w:footnote w:id="164">
    <w:p w14:paraId="4BB283ED" w14:textId="7E2B52EB" w:rsidR="005631A1" w:rsidRDefault="005631A1">
      <w:pPr>
        <w:pStyle w:val="FootnoteText"/>
      </w:pPr>
      <w:r>
        <w:rPr>
          <w:rStyle w:val="FootnoteReference"/>
        </w:rPr>
        <w:footnoteRef/>
      </w:r>
      <w:r>
        <w:t xml:space="preserve"> Harr, Patrick.</w:t>
      </w:r>
      <w:r w:rsidRPr="005631A1">
        <w:t xml:space="preserve"> “Generative AI Changes Everything We Know About Cyberattacks,” Dark Reading. February 23, 2023. https://www.darkreading.com/vulnerabilities-threats/generative-ai-changes-everything-we-know-about-cyberattacks.</w:t>
      </w:r>
    </w:p>
  </w:footnote>
  <w:footnote w:id="165">
    <w:p w14:paraId="1B1F5845" w14:textId="126188B2" w:rsidR="000A6003" w:rsidRPr="00C64B4C" w:rsidRDefault="009D0F65" w:rsidP="00C64B4C">
      <w:pPr>
        <w:pStyle w:val="FootnoteText"/>
        <w:rPr>
          <w:rStyle w:val="FootnoteReference"/>
          <w:szCs w:val="20"/>
          <w:vertAlign w:val="baseline"/>
        </w:rPr>
      </w:pPr>
      <w:r w:rsidRPr="00A16D52">
        <w:rPr>
          <w:rStyle w:val="FootnoteReference"/>
        </w:rPr>
        <w:footnoteRef/>
      </w:r>
      <w:r w:rsidRPr="00A16D52">
        <w:rPr>
          <w:rStyle w:val="FootnoteReference"/>
        </w:rPr>
        <w:t xml:space="preserve"> </w:t>
      </w:r>
      <w:r w:rsidR="001D4739" w:rsidRPr="00A16D52">
        <w:rPr>
          <w:szCs w:val="18"/>
        </w:rPr>
        <w:t xml:space="preserve">“Privacy Enhancements and Assessments Research Group (Pearg).” Accessed April 1, 2023. </w:t>
      </w:r>
      <w:hyperlink r:id="rId114" w:history="1">
        <w:r w:rsidR="001D4739" w:rsidRPr="00A16D52">
          <w:rPr>
            <w:szCs w:val="18"/>
          </w:rPr>
          <w:t>https://datatracker.ietf.org/rg/pearg/about/</w:t>
        </w:r>
      </w:hyperlink>
      <w:r w:rsidR="001D4739" w:rsidRPr="00A16D52">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484A" w14:textId="676C31E9" w:rsidR="00BE5B0B" w:rsidRDefault="00BE5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AFA0" w14:textId="3CC3B766" w:rsidR="00BE5B0B" w:rsidRDefault="00BE5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3498" w14:textId="1DDAA156" w:rsidR="00BE5B0B" w:rsidRDefault="00BE5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AE1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CA2E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5857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A76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5436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FAE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3C0C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5221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141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49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3210"/>
    <w:multiLevelType w:val="multilevel"/>
    <w:tmpl w:val="7ACC5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757B99"/>
    <w:multiLevelType w:val="multilevel"/>
    <w:tmpl w:val="EA962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615D3B"/>
    <w:multiLevelType w:val="multilevel"/>
    <w:tmpl w:val="44A625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AD3782B"/>
    <w:multiLevelType w:val="hybridMultilevel"/>
    <w:tmpl w:val="A03E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E736C"/>
    <w:multiLevelType w:val="hybridMultilevel"/>
    <w:tmpl w:val="B9BE1D4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18BB6C5E"/>
    <w:multiLevelType w:val="multilevel"/>
    <w:tmpl w:val="270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4565DB"/>
    <w:multiLevelType w:val="multilevel"/>
    <w:tmpl w:val="92DE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4E2D93"/>
    <w:multiLevelType w:val="multilevel"/>
    <w:tmpl w:val="530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B1124"/>
    <w:multiLevelType w:val="multilevel"/>
    <w:tmpl w:val="750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5554F"/>
    <w:multiLevelType w:val="hybridMultilevel"/>
    <w:tmpl w:val="E4E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B04FB"/>
    <w:multiLevelType w:val="multilevel"/>
    <w:tmpl w:val="A646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B8059A"/>
    <w:multiLevelType w:val="multilevel"/>
    <w:tmpl w:val="12B28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F2128F"/>
    <w:multiLevelType w:val="multilevel"/>
    <w:tmpl w:val="6D5C0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061366"/>
    <w:multiLevelType w:val="hybridMultilevel"/>
    <w:tmpl w:val="B1C0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F4420"/>
    <w:multiLevelType w:val="multilevel"/>
    <w:tmpl w:val="A3D6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776108"/>
    <w:multiLevelType w:val="hybridMultilevel"/>
    <w:tmpl w:val="9C7C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64132"/>
    <w:multiLevelType w:val="hybridMultilevel"/>
    <w:tmpl w:val="F294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654FE"/>
    <w:multiLevelType w:val="hybridMultilevel"/>
    <w:tmpl w:val="C046B2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15:restartNumberingAfterBreak="0">
    <w:nsid w:val="6B07279E"/>
    <w:multiLevelType w:val="hybridMultilevel"/>
    <w:tmpl w:val="2F3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E06DD"/>
    <w:multiLevelType w:val="hybridMultilevel"/>
    <w:tmpl w:val="FAB6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116A1"/>
    <w:multiLevelType w:val="multilevel"/>
    <w:tmpl w:val="AEB29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924828">
    <w:abstractNumId w:val="11"/>
  </w:num>
  <w:num w:numId="2" w16cid:durableId="1607347273">
    <w:abstractNumId w:val="22"/>
  </w:num>
  <w:num w:numId="3" w16cid:durableId="195125330">
    <w:abstractNumId w:val="21"/>
  </w:num>
  <w:num w:numId="4" w16cid:durableId="1458521658">
    <w:abstractNumId w:val="10"/>
  </w:num>
  <w:num w:numId="5" w16cid:durableId="167984999">
    <w:abstractNumId w:val="16"/>
  </w:num>
  <w:num w:numId="6" w16cid:durableId="1966736285">
    <w:abstractNumId w:val="30"/>
  </w:num>
  <w:num w:numId="7" w16cid:durableId="1239092818">
    <w:abstractNumId w:val="12"/>
  </w:num>
  <w:num w:numId="8" w16cid:durableId="1170605989">
    <w:abstractNumId w:val="27"/>
  </w:num>
  <w:num w:numId="9" w16cid:durableId="2021543463">
    <w:abstractNumId w:val="18"/>
  </w:num>
  <w:num w:numId="10" w16cid:durableId="294020072">
    <w:abstractNumId w:val="14"/>
  </w:num>
  <w:num w:numId="11" w16cid:durableId="744494693">
    <w:abstractNumId w:val="26"/>
  </w:num>
  <w:num w:numId="12" w16cid:durableId="487790914">
    <w:abstractNumId w:val="0"/>
  </w:num>
  <w:num w:numId="13" w16cid:durableId="1667631548">
    <w:abstractNumId w:val="1"/>
  </w:num>
  <w:num w:numId="14" w16cid:durableId="1708142107">
    <w:abstractNumId w:val="2"/>
  </w:num>
  <w:num w:numId="15" w16cid:durableId="1610502824">
    <w:abstractNumId w:val="3"/>
  </w:num>
  <w:num w:numId="16" w16cid:durableId="582497879">
    <w:abstractNumId w:val="8"/>
  </w:num>
  <w:num w:numId="17" w16cid:durableId="2109621383">
    <w:abstractNumId w:val="4"/>
  </w:num>
  <w:num w:numId="18" w16cid:durableId="1345353413">
    <w:abstractNumId w:val="5"/>
  </w:num>
  <w:num w:numId="19" w16cid:durableId="569265767">
    <w:abstractNumId w:val="6"/>
  </w:num>
  <w:num w:numId="20" w16cid:durableId="1503545558">
    <w:abstractNumId w:val="7"/>
  </w:num>
  <w:num w:numId="21" w16cid:durableId="158347888">
    <w:abstractNumId w:val="9"/>
  </w:num>
  <w:num w:numId="22" w16cid:durableId="1837040061">
    <w:abstractNumId w:val="0"/>
  </w:num>
  <w:num w:numId="23" w16cid:durableId="1447194968">
    <w:abstractNumId w:val="1"/>
  </w:num>
  <w:num w:numId="24" w16cid:durableId="1596396419">
    <w:abstractNumId w:val="2"/>
  </w:num>
  <w:num w:numId="25" w16cid:durableId="1490172361">
    <w:abstractNumId w:val="3"/>
  </w:num>
  <w:num w:numId="26" w16cid:durableId="807865285">
    <w:abstractNumId w:val="8"/>
  </w:num>
  <w:num w:numId="27" w16cid:durableId="997076123">
    <w:abstractNumId w:val="4"/>
  </w:num>
  <w:num w:numId="28" w16cid:durableId="1374966306">
    <w:abstractNumId w:val="5"/>
  </w:num>
  <w:num w:numId="29" w16cid:durableId="1365053921">
    <w:abstractNumId w:val="6"/>
  </w:num>
  <w:num w:numId="30" w16cid:durableId="531192102">
    <w:abstractNumId w:val="7"/>
  </w:num>
  <w:num w:numId="31" w16cid:durableId="868227309">
    <w:abstractNumId w:val="9"/>
  </w:num>
  <w:num w:numId="32" w16cid:durableId="1821457580">
    <w:abstractNumId w:val="0"/>
  </w:num>
  <w:num w:numId="33" w16cid:durableId="2029332649">
    <w:abstractNumId w:val="1"/>
  </w:num>
  <w:num w:numId="34" w16cid:durableId="175072643">
    <w:abstractNumId w:val="2"/>
  </w:num>
  <w:num w:numId="35" w16cid:durableId="1838956501">
    <w:abstractNumId w:val="3"/>
  </w:num>
  <w:num w:numId="36" w16cid:durableId="1082216407">
    <w:abstractNumId w:val="8"/>
  </w:num>
  <w:num w:numId="37" w16cid:durableId="276572184">
    <w:abstractNumId w:val="4"/>
  </w:num>
  <w:num w:numId="38" w16cid:durableId="189532556">
    <w:abstractNumId w:val="5"/>
  </w:num>
  <w:num w:numId="39" w16cid:durableId="1718971885">
    <w:abstractNumId w:val="6"/>
  </w:num>
  <w:num w:numId="40" w16cid:durableId="202714263">
    <w:abstractNumId w:val="7"/>
  </w:num>
  <w:num w:numId="41" w16cid:durableId="2140804470">
    <w:abstractNumId w:val="9"/>
  </w:num>
  <w:num w:numId="42" w16cid:durableId="1478448369">
    <w:abstractNumId w:val="0"/>
  </w:num>
  <w:num w:numId="43" w16cid:durableId="2108184676">
    <w:abstractNumId w:val="1"/>
  </w:num>
  <w:num w:numId="44" w16cid:durableId="1190877190">
    <w:abstractNumId w:val="2"/>
  </w:num>
  <w:num w:numId="45" w16cid:durableId="794375969">
    <w:abstractNumId w:val="3"/>
  </w:num>
  <w:num w:numId="46" w16cid:durableId="1986621947">
    <w:abstractNumId w:val="8"/>
  </w:num>
  <w:num w:numId="47" w16cid:durableId="1202396361">
    <w:abstractNumId w:val="4"/>
  </w:num>
  <w:num w:numId="48" w16cid:durableId="1294287592">
    <w:abstractNumId w:val="5"/>
  </w:num>
  <w:num w:numId="49" w16cid:durableId="1840926853">
    <w:abstractNumId w:val="6"/>
  </w:num>
  <w:num w:numId="50" w16cid:durableId="1221748287">
    <w:abstractNumId w:val="7"/>
  </w:num>
  <w:num w:numId="51" w16cid:durableId="1596744052">
    <w:abstractNumId w:val="9"/>
  </w:num>
  <w:num w:numId="52" w16cid:durableId="1869679322">
    <w:abstractNumId w:val="0"/>
  </w:num>
  <w:num w:numId="53" w16cid:durableId="1586454255">
    <w:abstractNumId w:val="1"/>
  </w:num>
  <w:num w:numId="54" w16cid:durableId="666903177">
    <w:abstractNumId w:val="2"/>
  </w:num>
  <w:num w:numId="55" w16cid:durableId="486556959">
    <w:abstractNumId w:val="3"/>
  </w:num>
  <w:num w:numId="56" w16cid:durableId="1244145050">
    <w:abstractNumId w:val="8"/>
  </w:num>
  <w:num w:numId="57" w16cid:durableId="796724865">
    <w:abstractNumId w:val="4"/>
  </w:num>
  <w:num w:numId="58" w16cid:durableId="1035035631">
    <w:abstractNumId w:val="5"/>
  </w:num>
  <w:num w:numId="59" w16cid:durableId="1781101976">
    <w:abstractNumId w:val="6"/>
  </w:num>
  <w:num w:numId="60" w16cid:durableId="807552978">
    <w:abstractNumId w:val="7"/>
  </w:num>
  <w:num w:numId="61" w16cid:durableId="361982377">
    <w:abstractNumId w:val="9"/>
  </w:num>
  <w:num w:numId="62" w16cid:durableId="2001421108">
    <w:abstractNumId w:val="0"/>
  </w:num>
  <w:num w:numId="63" w16cid:durableId="1131938901">
    <w:abstractNumId w:val="1"/>
  </w:num>
  <w:num w:numId="64" w16cid:durableId="770977074">
    <w:abstractNumId w:val="2"/>
  </w:num>
  <w:num w:numId="65" w16cid:durableId="1778210960">
    <w:abstractNumId w:val="3"/>
  </w:num>
  <w:num w:numId="66" w16cid:durableId="587035682">
    <w:abstractNumId w:val="8"/>
  </w:num>
  <w:num w:numId="67" w16cid:durableId="532307586">
    <w:abstractNumId w:val="4"/>
  </w:num>
  <w:num w:numId="68" w16cid:durableId="288052192">
    <w:abstractNumId w:val="5"/>
  </w:num>
  <w:num w:numId="69" w16cid:durableId="972903462">
    <w:abstractNumId w:val="6"/>
  </w:num>
  <w:num w:numId="70" w16cid:durableId="1871337882">
    <w:abstractNumId w:val="7"/>
  </w:num>
  <w:num w:numId="71" w16cid:durableId="1303000614">
    <w:abstractNumId w:val="9"/>
  </w:num>
  <w:num w:numId="72" w16cid:durableId="82379931">
    <w:abstractNumId w:val="0"/>
  </w:num>
  <w:num w:numId="73" w16cid:durableId="728697573">
    <w:abstractNumId w:val="1"/>
  </w:num>
  <w:num w:numId="74" w16cid:durableId="353457311">
    <w:abstractNumId w:val="2"/>
  </w:num>
  <w:num w:numId="75" w16cid:durableId="1106119365">
    <w:abstractNumId w:val="3"/>
  </w:num>
  <w:num w:numId="76" w16cid:durableId="2073043171">
    <w:abstractNumId w:val="8"/>
  </w:num>
  <w:num w:numId="77" w16cid:durableId="1240793124">
    <w:abstractNumId w:val="4"/>
  </w:num>
  <w:num w:numId="78" w16cid:durableId="1948003242">
    <w:abstractNumId w:val="5"/>
  </w:num>
  <w:num w:numId="79" w16cid:durableId="1870680354">
    <w:abstractNumId w:val="6"/>
  </w:num>
  <w:num w:numId="80" w16cid:durableId="1926065444">
    <w:abstractNumId w:val="7"/>
  </w:num>
  <w:num w:numId="81" w16cid:durableId="1785731270">
    <w:abstractNumId w:val="9"/>
  </w:num>
  <w:num w:numId="82" w16cid:durableId="229655963">
    <w:abstractNumId w:val="0"/>
  </w:num>
  <w:num w:numId="83" w16cid:durableId="1757507448">
    <w:abstractNumId w:val="1"/>
  </w:num>
  <w:num w:numId="84" w16cid:durableId="1404255655">
    <w:abstractNumId w:val="2"/>
  </w:num>
  <w:num w:numId="85" w16cid:durableId="1581064616">
    <w:abstractNumId w:val="3"/>
  </w:num>
  <w:num w:numId="86" w16cid:durableId="1065488850">
    <w:abstractNumId w:val="8"/>
  </w:num>
  <w:num w:numId="87" w16cid:durableId="2002153740">
    <w:abstractNumId w:val="4"/>
  </w:num>
  <w:num w:numId="88" w16cid:durableId="1193690756">
    <w:abstractNumId w:val="5"/>
  </w:num>
  <w:num w:numId="89" w16cid:durableId="1658456250">
    <w:abstractNumId w:val="6"/>
  </w:num>
  <w:num w:numId="90" w16cid:durableId="1128087457">
    <w:abstractNumId w:val="7"/>
  </w:num>
  <w:num w:numId="91" w16cid:durableId="2085492152">
    <w:abstractNumId w:val="9"/>
  </w:num>
  <w:num w:numId="92" w16cid:durableId="1129006516">
    <w:abstractNumId w:val="0"/>
  </w:num>
  <w:num w:numId="93" w16cid:durableId="1445690238">
    <w:abstractNumId w:val="1"/>
  </w:num>
  <w:num w:numId="94" w16cid:durableId="37319564">
    <w:abstractNumId w:val="2"/>
  </w:num>
  <w:num w:numId="95" w16cid:durableId="913777256">
    <w:abstractNumId w:val="3"/>
  </w:num>
  <w:num w:numId="96" w16cid:durableId="1518040762">
    <w:abstractNumId w:val="8"/>
  </w:num>
  <w:num w:numId="97" w16cid:durableId="1377852778">
    <w:abstractNumId w:val="4"/>
  </w:num>
  <w:num w:numId="98" w16cid:durableId="955328559">
    <w:abstractNumId w:val="5"/>
  </w:num>
  <w:num w:numId="99" w16cid:durableId="199707373">
    <w:abstractNumId w:val="6"/>
  </w:num>
  <w:num w:numId="100" w16cid:durableId="985940038">
    <w:abstractNumId w:val="7"/>
  </w:num>
  <w:num w:numId="101" w16cid:durableId="1675231263">
    <w:abstractNumId w:val="9"/>
  </w:num>
  <w:num w:numId="102" w16cid:durableId="1685935423">
    <w:abstractNumId w:val="0"/>
  </w:num>
  <w:num w:numId="103" w16cid:durableId="1577668047">
    <w:abstractNumId w:val="1"/>
  </w:num>
  <w:num w:numId="104" w16cid:durableId="1503086016">
    <w:abstractNumId w:val="2"/>
  </w:num>
  <w:num w:numId="105" w16cid:durableId="1280991864">
    <w:abstractNumId w:val="3"/>
  </w:num>
  <w:num w:numId="106" w16cid:durableId="1994142137">
    <w:abstractNumId w:val="8"/>
  </w:num>
  <w:num w:numId="107" w16cid:durableId="1700348687">
    <w:abstractNumId w:val="4"/>
  </w:num>
  <w:num w:numId="108" w16cid:durableId="1535458998">
    <w:abstractNumId w:val="5"/>
  </w:num>
  <w:num w:numId="109" w16cid:durableId="212275730">
    <w:abstractNumId w:val="6"/>
  </w:num>
  <w:num w:numId="110" w16cid:durableId="163398084">
    <w:abstractNumId w:val="7"/>
  </w:num>
  <w:num w:numId="111" w16cid:durableId="1711416986">
    <w:abstractNumId w:val="9"/>
  </w:num>
  <w:num w:numId="112" w16cid:durableId="176626869">
    <w:abstractNumId w:val="0"/>
  </w:num>
  <w:num w:numId="113" w16cid:durableId="400710975">
    <w:abstractNumId w:val="1"/>
  </w:num>
  <w:num w:numId="114" w16cid:durableId="1436514024">
    <w:abstractNumId w:val="2"/>
  </w:num>
  <w:num w:numId="115" w16cid:durableId="362175098">
    <w:abstractNumId w:val="3"/>
  </w:num>
  <w:num w:numId="116" w16cid:durableId="191386950">
    <w:abstractNumId w:val="8"/>
  </w:num>
  <w:num w:numId="117" w16cid:durableId="2115787555">
    <w:abstractNumId w:val="4"/>
  </w:num>
  <w:num w:numId="118" w16cid:durableId="114105535">
    <w:abstractNumId w:val="5"/>
  </w:num>
  <w:num w:numId="119" w16cid:durableId="983654372">
    <w:abstractNumId w:val="6"/>
  </w:num>
  <w:num w:numId="120" w16cid:durableId="1906181803">
    <w:abstractNumId w:val="7"/>
  </w:num>
  <w:num w:numId="121" w16cid:durableId="1257858635">
    <w:abstractNumId w:val="9"/>
  </w:num>
  <w:num w:numId="122" w16cid:durableId="946035547">
    <w:abstractNumId w:val="0"/>
  </w:num>
  <w:num w:numId="123" w16cid:durableId="24912270">
    <w:abstractNumId w:val="1"/>
  </w:num>
  <w:num w:numId="124" w16cid:durableId="1289699338">
    <w:abstractNumId w:val="2"/>
  </w:num>
  <w:num w:numId="125" w16cid:durableId="1872650314">
    <w:abstractNumId w:val="3"/>
  </w:num>
  <w:num w:numId="126" w16cid:durableId="455029826">
    <w:abstractNumId w:val="8"/>
  </w:num>
  <w:num w:numId="127" w16cid:durableId="1480000413">
    <w:abstractNumId w:val="4"/>
  </w:num>
  <w:num w:numId="128" w16cid:durableId="1307585671">
    <w:abstractNumId w:val="5"/>
  </w:num>
  <w:num w:numId="129" w16cid:durableId="1382631292">
    <w:abstractNumId w:val="6"/>
  </w:num>
  <w:num w:numId="130" w16cid:durableId="1564097192">
    <w:abstractNumId w:val="7"/>
  </w:num>
  <w:num w:numId="131" w16cid:durableId="528687724">
    <w:abstractNumId w:val="9"/>
  </w:num>
  <w:num w:numId="132" w16cid:durableId="401634674">
    <w:abstractNumId w:val="0"/>
  </w:num>
  <w:num w:numId="133" w16cid:durableId="1682507775">
    <w:abstractNumId w:val="1"/>
  </w:num>
  <w:num w:numId="134" w16cid:durableId="795366581">
    <w:abstractNumId w:val="2"/>
  </w:num>
  <w:num w:numId="135" w16cid:durableId="618225568">
    <w:abstractNumId w:val="3"/>
  </w:num>
  <w:num w:numId="136" w16cid:durableId="1139956732">
    <w:abstractNumId w:val="8"/>
  </w:num>
  <w:num w:numId="137" w16cid:durableId="1430934053">
    <w:abstractNumId w:val="4"/>
  </w:num>
  <w:num w:numId="138" w16cid:durableId="313218057">
    <w:abstractNumId w:val="5"/>
  </w:num>
  <w:num w:numId="139" w16cid:durableId="2140145514">
    <w:abstractNumId w:val="6"/>
  </w:num>
  <w:num w:numId="140" w16cid:durableId="1002899685">
    <w:abstractNumId w:val="7"/>
  </w:num>
  <w:num w:numId="141" w16cid:durableId="1694453741">
    <w:abstractNumId w:val="9"/>
  </w:num>
  <w:num w:numId="142" w16cid:durableId="215163054">
    <w:abstractNumId w:val="0"/>
  </w:num>
  <w:num w:numId="143" w16cid:durableId="1426799732">
    <w:abstractNumId w:val="1"/>
  </w:num>
  <w:num w:numId="144" w16cid:durableId="441461784">
    <w:abstractNumId w:val="2"/>
  </w:num>
  <w:num w:numId="145" w16cid:durableId="588781940">
    <w:abstractNumId w:val="3"/>
  </w:num>
  <w:num w:numId="146" w16cid:durableId="235867454">
    <w:abstractNumId w:val="8"/>
  </w:num>
  <w:num w:numId="147" w16cid:durableId="584340409">
    <w:abstractNumId w:val="4"/>
  </w:num>
  <w:num w:numId="148" w16cid:durableId="1020938424">
    <w:abstractNumId w:val="5"/>
  </w:num>
  <w:num w:numId="149" w16cid:durableId="800340756">
    <w:abstractNumId w:val="6"/>
  </w:num>
  <w:num w:numId="150" w16cid:durableId="1293444459">
    <w:abstractNumId w:val="7"/>
  </w:num>
  <w:num w:numId="151" w16cid:durableId="1777141522">
    <w:abstractNumId w:val="9"/>
  </w:num>
  <w:num w:numId="152" w16cid:durableId="1924490281">
    <w:abstractNumId w:val="0"/>
  </w:num>
  <w:num w:numId="153" w16cid:durableId="1293629932">
    <w:abstractNumId w:val="1"/>
  </w:num>
  <w:num w:numId="154" w16cid:durableId="1101025428">
    <w:abstractNumId w:val="2"/>
  </w:num>
  <w:num w:numId="155" w16cid:durableId="935139677">
    <w:abstractNumId w:val="3"/>
  </w:num>
  <w:num w:numId="156" w16cid:durableId="889072176">
    <w:abstractNumId w:val="8"/>
  </w:num>
  <w:num w:numId="157" w16cid:durableId="1064137207">
    <w:abstractNumId w:val="4"/>
  </w:num>
  <w:num w:numId="158" w16cid:durableId="2069382487">
    <w:abstractNumId w:val="5"/>
  </w:num>
  <w:num w:numId="159" w16cid:durableId="993292815">
    <w:abstractNumId w:val="6"/>
  </w:num>
  <w:num w:numId="160" w16cid:durableId="1224482864">
    <w:abstractNumId w:val="7"/>
  </w:num>
  <w:num w:numId="161" w16cid:durableId="2005084803">
    <w:abstractNumId w:val="9"/>
  </w:num>
  <w:num w:numId="162" w16cid:durableId="1403217854">
    <w:abstractNumId w:val="0"/>
  </w:num>
  <w:num w:numId="163" w16cid:durableId="199898693">
    <w:abstractNumId w:val="1"/>
  </w:num>
  <w:num w:numId="164" w16cid:durableId="2087140970">
    <w:abstractNumId w:val="2"/>
  </w:num>
  <w:num w:numId="165" w16cid:durableId="1361004342">
    <w:abstractNumId w:val="3"/>
  </w:num>
  <w:num w:numId="166" w16cid:durableId="1493720466">
    <w:abstractNumId w:val="8"/>
  </w:num>
  <w:num w:numId="167" w16cid:durableId="945235458">
    <w:abstractNumId w:val="4"/>
  </w:num>
  <w:num w:numId="168" w16cid:durableId="1608005054">
    <w:abstractNumId w:val="5"/>
  </w:num>
  <w:num w:numId="169" w16cid:durableId="169297548">
    <w:abstractNumId w:val="6"/>
  </w:num>
  <w:num w:numId="170" w16cid:durableId="764307363">
    <w:abstractNumId w:val="7"/>
  </w:num>
  <w:num w:numId="171" w16cid:durableId="1876232893">
    <w:abstractNumId w:val="9"/>
  </w:num>
  <w:num w:numId="172" w16cid:durableId="805271588">
    <w:abstractNumId w:val="0"/>
  </w:num>
  <w:num w:numId="173" w16cid:durableId="518469276">
    <w:abstractNumId w:val="1"/>
  </w:num>
  <w:num w:numId="174" w16cid:durableId="36010996">
    <w:abstractNumId w:val="2"/>
  </w:num>
  <w:num w:numId="175" w16cid:durableId="1912545918">
    <w:abstractNumId w:val="3"/>
  </w:num>
  <w:num w:numId="176" w16cid:durableId="75054895">
    <w:abstractNumId w:val="8"/>
  </w:num>
  <w:num w:numId="177" w16cid:durableId="1684361741">
    <w:abstractNumId w:val="4"/>
  </w:num>
  <w:num w:numId="178" w16cid:durableId="620460858">
    <w:abstractNumId w:val="5"/>
  </w:num>
  <w:num w:numId="179" w16cid:durableId="440538080">
    <w:abstractNumId w:val="6"/>
  </w:num>
  <w:num w:numId="180" w16cid:durableId="1346052010">
    <w:abstractNumId w:val="7"/>
  </w:num>
  <w:num w:numId="181" w16cid:durableId="1745489861">
    <w:abstractNumId w:val="9"/>
  </w:num>
  <w:num w:numId="182" w16cid:durableId="1204175536">
    <w:abstractNumId w:val="0"/>
  </w:num>
  <w:num w:numId="183" w16cid:durableId="1440099416">
    <w:abstractNumId w:val="1"/>
  </w:num>
  <w:num w:numId="184" w16cid:durableId="28919772">
    <w:abstractNumId w:val="2"/>
  </w:num>
  <w:num w:numId="185" w16cid:durableId="983659011">
    <w:abstractNumId w:val="3"/>
  </w:num>
  <w:num w:numId="186" w16cid:durableId="929316977">
    <w:abstractNumId w:val="8"/>
  </w:num>
  <w:num w:numId="187" w16cid:durableId="2027058009">
    <w:abstractNumId w:val="4"/>
  </w:num>
  <w:num w:numId="188" w16cid:durableId="710687149">
    <w:abstractNumId w:val="5"/>
  </w:num>
  <w:num w:numId="189" w16cid:durableId="816385929">
    <w:abstractNumId w:val="6"/>
  </w:num>
  <w:num w:numId="190" w16cid:durableId="775177430">
    <w:abstractNumId w:val="7"/>
  </w:num>
  <w:num w:numId="191" w16cid:durableId="116878520">
    <w:abstractNumId w:val="9"/>
  </w:num>
  <w:num w:numId="192" w16cid:durableId="718356422">
    <w:abstractNumId w:val="0"/>
  </w:num>
  <w:num w:numId="193" w16cid:durableId="894972915">
    <w:abstractNumId w:val="1"/>
  </w:num>
  <w:num w:numId="194" w16cid:durableId="1847745664">
    <w:abstractNumId w:val="2"/>
  </w:num>
  <w:num w:numId="195" w16cid:durableId="841508079">
    <w:abstractNumId w:val="3"/>
  </w:num>
  <w:num w:numId="196" w16cid:durableId="1170559325">
    <w:abstractNumId w:val="8"/>
  </w:num>
  <w:num w:numId="197" w16cid:durableId="1711496537">
    <w:abstractNumId w:val="4"/>
  </w:num>
  <w:num w:numId="198" w16cid:durableId="1343245360">
    <w:abstractNumId w:val="5"/>
  </w:num>
  <w:num w:numId="199" w16cid:durableId="542332180">
    <w:abstractNumId w:val="6"/>
  </w:num>
  <w:num w:numId="200" w16cid:durableId="941499334">
    <w:abstractNumId w:val="7"/>
  </w:num>
  <w:num w:numId="201" w16cid:durableId="593512016">
    <w:abstractNumId w:val="9"/>
  </w:num>
  <w:num w:numId="202" w16cid:durableId="1156655006">
    <w:abstractNumId w:val="0"/>
  </w:num>
  <w:num w:numId="203" w16cid:durableId="274872761">
    <w:abstractNumId w:val="1"/>
  </w:num>
  <w:num w:numId="204" w16cid:durableId="1633095101">
    <w:abstractNumId w:val="2"/>
  </w:num>
  <w:num w:numId="205" w16cid:durableId="1277827802">
    <w:abstractNumId w:val="3"/>
  </w:num>
  <w:num w:numId="206" w16cid:durableId="1813138115">
    <w:abstractNumId w:val="8"/>
  </w:num>
  <w:num w:numId="207" w16cid:durableId="1509366175">
    <w:abstractNumId w:val="4"/>
  </w:num>
  <w:num w:numId="208" w16cid:durableId="1244606931">
    <w:abstractNumId w:val="5"/>
  </w:num>
  <w:num w:numId="209" w16cid:durableId="810682294">
    <w:abstractNumId w:val="6"/>
  </w:num>
  <w:num w:numId="210" w16cid:durableId="2096004951">
    <w:abstractNumId w:val="7"/>
  </w:num>
  <w:num w:numId="211" w16cid:durableId="1624192931">
    <w:abstractNumId w:val="9"/>
  </w:num>
  <w:num w:numId="212" w16cid:durableId="1408259985">
    <w:abstractNumId w:val="0"/>
  </w:num>
  <w:num w:numId="213" w16cid:durableId="330375307">
    <w:abstractNumId w:val="1"/>
  </w:num>
  <w:num w:numId="214" w16cid:durableId="119611699">
    <w:abstractNumId w:val="2"/>
  </w:num>
  <w:num w:numId="215" w16cid:durableId="516232416">
    <w:abstractNumId w:val="3"/>
  </w:num>
  <w:num w:numId="216" w16cid:durableId="330641820">
    <w:abstractNumId w:val="8"/>
  </w:num>
  <w:num w:numId="217" w16cid:durableId="984429957">
    <w:abstractNumId w:val="4"/>
  </w:num>
  <w:num w:numId="218" w16cid:durableId="932055476">
    <w:abstractNumId w:val="5"/>
  </w:num>
  <w:num w:numId="219" w16cid:durableId="718478764">
    <w:abstractNumId w:val="6"/>
  </w:num>
  <w:num w:numId="220" w16cid:durableId="771820930">
    <w:abstractNumId w:val="7"/>
  </w:num>
  <w:num w:numId="221" w16cid:durableId="1908610105">
    <w:abstractNumId w:val="9"/>
  </w:num>
  <w:num w:numId="222" w16cid:durableId="1001734059">
    <w:abstractNumId w:val="0"/>
  </w:num>
  <w:num w:numId="223" w16cid:durableId="630407002">
    <w:abstractNumId w:val="1"/>
  </w:num>
  <w:num w:numId="224" w16cid:durableId="30762896">
    <w:abstractNumId w:val="2"/>
  </w:num>
  <w:num w:numId="225" w16cid:durableId="672343710">
    <w:abstractNumId w:val="3"/>
  </w:num>
  <w:num w:numId="226" w16cid:durableId="500043911">
    <w:abstractNumId w:val="8"/>
  </w:num>
  <w:num w:numId="227" w16cid:durableId="738094129">
    <w:abstractNumId w:val="4"/>
  </w:num>
  <w:num w:numId="228" w16cid:durableId="2122340616">
    <w:abstractNumId w:val="5"/>
  </w:num>
  <w:num w:numId="229" w16cid:durableId="947156237">
    <w:abstractNumId w:val="6"/>
  </w:num>
  <w:num w:numId="230" w16cid:durableId="2118480853">
    <w:abstractNumId w:val="7"/>
  </w:num>
  <w:num w:numId="231" w16cid:durableId="1932468771">
    <w:abstractNumId w:val="9"/>
  </w:num>
  <w:num w:numId="232" w16cid:durableId="1076364279">
    <w:abstractNumId w:val="0"/>
  </w:num>
  <w:num w:numId="233" w16cid:durableId="1012800563">
    <w:abstractNumId w:val="1"/>
  </w:num>
  <w:num w:numId="234" w16cid:durableId="1069497165">
    <w:abstractNumId w:val="2"/>
  </w:num>
  <w:num w:numId="235" w16cid:durableId="2058971730">
    <w:abstractNumId w:val="3"/>
  </w:num>
  <w:num w:numId="236" w16cid:durableId="211237253">
    <w:abstractNumId w:val="8"/>
  </w:num>
  <w:num w:numId="237" w16cid:durableId="1927883820">
    <w:abstractNumId w:val="4"/>
  </w:num>
  <w:num w:numId="238" w16cid:durableId="102190238">
    <w:abstractNumId w:val="5"/>
  </w:num>
  <w:num w:numId="239" w16cid:durableId="456073557">
    <w:abstractNumId w:val="6"/>
  </w:num>
  <w:num w:numId="240" w16cid:durableId="423307682">
    <w:abstractNumId w:val="7"/>
  </w:num>
  <w:num w:numId="241" w16cid:durableId="260262666">
    <w:abstractNumId w:val="9"/>
  </w:num>
  <w:num w:numId="242" w16cid:durableId="2092501395">
    <w:abstractNumId w:val="0"/>
  </w:num>
  <w:num w:numId="243" w16cid:durableId="7684539">
    <w:abstractNumId w:val="1"/>
  </w:num>
  <w:num w:numId="244" w16cid:durableId="1392844020">
    <w:abstractNumId w:val="2"/>
  </w:num>
  <w:num w:numId="245" w16cid:durableId="1253784330">
    <w:abstractNumId w:val="3"/>
  </w:num>
  <w:num w:numId="246" w16cid:durableId="941759993">
    <w:abstractNumId w:val="8"/>
  </w:num>
  <w:num w:numId="247" w16cid:durableId="1833372597">
    <w:abstractNumId w:val="4"/>
  </w:num>
  <w:num w:numId="248" w16cid:durableId="1600987704">
    <w:abstractNumId w:val="5"/>
  </w:num>
  <w:num w:numId="249" w16cid:durableId="935753074">
    <w:abstractNumId w:val="6"/>
  </w:num>
  <w:num w:numId="250" w16cid:durableId="1864316778">
    <w:abstractNumId w:val="7"/>
  </w:num>
  <w:num w:numId="251" w16cid:durableId="802774714">
    <w:abstractNumId w:val="9"/>
  </w:num>
  <w:num w:numId="252" w16cid:durableId="1377971730">
    <w:abstractNumId w:val="0"/>
  </w:num>
  <w:num w:numId="253" w16cid:durableId="1992513507">
    <w:abstractNumId w:val="1"/>
  </w:num>
  <w:num w:numId="254" w16cid:durableId="1139493052">
    <w:abstractNumId w:val="2"/>
  </w:num>
  <w:num w:numId="255" w16cid:durableId="2124112920">
    <w:abstractNumId w:val="3"/>
  </w:num>
  <w:num w:numId="256" w16cid:durableId="617681065">
    <w:abstractNumId w:val="8"/>
  </w:num>
  <w:num w:numId="257" w16cid:durableId="1353415808">
    <w:abstractNumId w:val="4"/>
  </w:num>
  <w:num w:numId="258" w16cid:durableId="1746610988">
    <w:abstractNumId w:val="5"/>
  </w:num>
  <w:num w:numId="259" w16cid:durableId="1166634346">
    <w:abstractNumId w:val="6"/>
  </w:num>
  <w:num w:numId="260" w16cid:durableId="1736007449">
    <w:abstractNumId w:val="7"/>
  </w:num>
  <w:num w:numId="261" w16cid:durableId="1693997493">
    <w:abstractNumId w:val="9"/>
  </w:num>
  <w:num w:numId="262" w16cid:durableId="2085450446">
    <w:abstractNumId w:val="0"/>
  </w:num>
  <w:num w:numId="263" w16cid:durableId="1798328174">
    <w:abstractNumId w:val="1"/>
  </w:num>
  <w:num w:numId="264" w16cid:durableId="88893539">
    <w:abstractNumId w:val="2"/>
  </w:num>
  <w:num w:numId="265" w16cid:durableId="867063986">
    <w:abstractNumId w:val="3"/>
  </w:num>
  <w:num w:numId="266" w16cid:durableId="2138833285">
    <w:abstractNumId w:val="8"/>
  </w:num>
  <w:num w:numId="267" w16cid:durableId="1882135699">
    <w:abstractNumId w:val="4"/>
  </w:num>
  <w:num w:numId="268" w16cid:durableId="254169273">
    <w:abstractNumId w:val="5"/>
  </w:num>
  <w:num w:numId="269" w16cid:durableId="1908146965">
    <w:abstractNumId w:val="6"/>
  </w:num>
  <w:num w:numId="270" w16cid:durableId="1568567881">
    <w:abstractNumId w:val="7"/>
  </w:num>
  <w:num w:numId="271" w16cid:durableId="789325319">
    <w:abstractNumId w:val="9"/>
  </w:num>
  <w:num w:numId="272" w16cid:durableId="1266303813">
    <w:abstractNumId w:val="0"/>
  </w:num>
  <w:num w:numId="273" w16cid:durableId="18630591">
    <w:abstractNumId w:val="1"/>
  </w:num>
  <w:num w:numId="274" w16cid:durableId="188564607">
    <w:abstractNumId w:val="2"/>
  </w:num>
  <w:num w:numId="275" w16cid:durableId="1533152636">
    <w:abstractNumId w:val="3"/>
  </w:num>
  <w:num w:numId="276" w16cid:durableId="728959513">
    <w:abstractNumId w:val="8"/>
  </w:num>
  <w:num w:numId="277" w16cid:durableId="1459177200">
    <w:abstractNumId w:val="4"/>
  </w:num>
  <w:num w:numId="278" w16cid:durableId="218059056">
    <w:abstractNumId w:val="5"/>
  </w:num>
  <w:num w:numId="279" w16cid:durableId="945037915">
    <w:abstractNumId w:val="6"/>
  </w:num>
  <w:num w:numId="280" w16cid:durableId="1664357275">
    <w:abstractNumId w:val="7"/>
  </w:num>
  <w:num w:numId="281" w16cid:durableId="526061961">
    <w:abstractNumId w:val="9"/>
  </w:num>
  <w:num w:numId="282" w16cid:durableId="1351030332">
    <w:abstractNumId w:val="0"/>
  </w:num>
  <w:num w:numId="283" w16cid:durableId="727529197">
    <w:abstractNumId w:val="1"/>
  </w:num>
  <w:num w:numId="284" w16cid:durableId="1392263613">
    <w:abstractNumId w:val="2"/>
  </w:num>
  <w:num w:numId="285" w16cid:durableId="1624732128">
    <w:abstractNumId w:val="3"/>
  </w:num>
  <w:num w:numId="286" w16cid:durableId="1055544700">
    <w:abstractNumId w:val="8"/>
  </w:num>
  <w:num w:numId="287" w16cid:durableId="359402384">
    <w:abstractNumId w:val="4"/>
  </w:num>
  <w:num w:numId="288" w16cid:durableId="1397625939">
    <w:abstractNumId w:val="5"/>
  </w:num>
  <w:num w:numId="289" w16cid:durableId="1011293645">
    <w:abstractNumId w:val="6"/>
  </w:num>
  <w:num w:numId="290" w16cid:durableId="1914504843">
    <w:abstractNumId w:val="7"/>
  </w:num>
  <w:num w:numId="291" w16cid:durableId="1742436181">
    <w:abstractNumId w:val="9"/>
  </w:num>
  <w:num w:numId="292" w16cid:durableId="1087649078">
    <w:abstractNumId w:val="0"/>
  </w:num>
  <w:num w:numId="293" w16cid:durableId="84768378">
    <w:abstractNumId w:val="1"/>
  </w:num>
  <w:num w:numId="294" w16cid:durableId="1631858174">
    <w:abstractNumId w:val="2"/>
  </w:num>
  <w:num w:numId="295" w16cid:durableId="2108695447">
    <w:abstractNumId w:val="3"/>
  </w:num>
  <w:num w:numId="296" w16cid:durableId="1221017804">
    <w:abstractNumId w:val="8"/>
  </w:num>
  <w:num w:numId="297" w16cid:durableId="1331375452">
    <w:abstractNumId w:val="4"/>
  </w:num>
  <w:num w:numId="298" w16cid:durableId="270207484">
    <w:abstractNumId w:val="5"/>
  </w:num>
  <w:num w:numId="299" w16cid:durableId="2114394167">
    <w:abstractNumId w:val="6"/>
  </w:num>
  <w:num w:numId="300" w16cid:durableId="561986790">
    <w:abstractNumId w:val="7"/>
  </w:num>
  <w:num w:numId="301" w16cid:durableId="942490796">
    <w:abstractNumId w:val="9"/>
  </w:num>
  <w:num w:numId="302" w16cid:durableId="34818371">
    <w:abstractNumId w:val="0"/>
  </w:num>
  <w:num w:numId="303" w16cid:durableId="982006847">
    <w:abstractNumId w:val="1"/>
  </w:num>
  <w:num w:numId="304" w16cid:durableId="420300754">
    <w:abstractNumId w:val="2"/>
  </w:num>
  <w:num w:numId="305" w16cid:durableId="2090730537">
    <w:abstractNumId w:val="3"/>
  </w:num>
  <w:num w:numId="306" w16cid:durableId="122506382">
    <w:abstractNumId w:val="8"/>
  </w:num>
  <w:num w:numId="307" w16cid:durableId="1809778865">
    <w:abstractNumId w:val="4"/>
  </w:num>
  <w:num w:numId="308" w16cid:durableId="1944603190">
    <w:abstractNumId w:val="5"/>
  </w:num>
  <w:num w:numId="309" w16cid:durableId="632826549">
    <w:abstractNumId w:val="6"/>
  </w:num>
  <w:num w:numId="310" w16cid:durableId="1350454026">
    <w:abstractNumId w:val="7"/>
  </w:num>
  <w:num w:numId="311" w16cid:durableId="1368144132">
    <w:abstractNumId w:val="9"/>
  </w:num>
  <w:num w:numId="312" w16cid:durableId="658923890">
    <w:abstractNumId w:val="0"/>
  </w:num>
  <w:num w:numId="313" w16cid:durableId="1753817145">
    <w:abstractNumId w:val="1"/>
  </w:num>
  <w:num w:numId="314" w16cid:durableId="412899215">
    <w:abstractNumId w:val="2"/>
  </w:num>
  <w:num w:numId="315" w16cid:durableId="1109542417">
    <w:abstractNumId w:val="3"/>
  </w:num>
  <w:num w:numId="316" w16cid:durableId="403719675">
    <w:abstractNumId w:val="8"/>
  </w:num>
  <w:num w:numId="317" w16cid:durableId="99616041">
    <w:abstractNumId w:val="4"/>
  </w:num>
  <w:num w:numId="318" w16cid:durableId="814569599">
    <w:abstractNumId w:val="5"/>
  </w:num>
  <w:num w:numId="319" w16cid:durableId="859929782">
    <w:abstractNumId w:val="6"/>
  </w:num>
  <w:num w:numId="320" w16cid:durableId="481310359">
    <w:abstractNumId w:val="7"/>
  </w:num>
  <w:num w:numId="321" w16cid:durableId="1712997282">
    <w:abstractNumId w:val="9"/>
  </w:num>
  <w:num w:numId="322" w16cid:durableId="1666976217">
    <w:abstractNumId w:val="0"/>
  </w:num>
  <w:num w:numId="323" w16cid:durableId="678702746">
    <w:abstractNumId w:val="1"/>
  </w:num>
  <w:num w:numId="324" w16cid:durableId="545877657">
    <w:abstractNumId w:val="2"/>
  </w:num>
  <w:num w:numId="325" w16cid:durableId="2004816579">
    <w:abstractNumId w:val="3"/>
  </w:num>
  <w:num w:numId="326" w16cid:durableId="761226346">
    <w:abstractNumId w:val="8"/>
  </w:num>
  <w:num w:numId="327" w16cid:durableId="449326349">
    <w:abstractNumId w:val="4"/>
  </w:num>
  <w:num w:numId="328" w16cid:durableId="1566985993">
    <w:abstractNumId w:val="5"/>
  </w:num>
  <w:num w:numId="329" w16cid:durableId="391004448">
    <w:abstractNumId w:val="6"/>
  </w:num>
  <w:num w:numId="330" w16cid:durableId="251165924">
    <w:abstractNumId w:val="7"/>
  </w:num>
  <w:num w:numId="331" w16cid:durableId="609289139">
    <w:abstractNumId w:val="9"/>
  </w:num>
  <w:num w:numId="332" w16cid:durableId="693728601">
    <w:abstractNumId w:val="0"/>
  </w:num>
  <w:num w:numId="333" w16cid:durableId="775976818">
    <w:abstractNumId w:val="1"/>
  </w:num>
  <w:num w:numId="334" w16cid:durableId="53628254">
    <w:abstractNumId w:val="2"/>
  </w:num>
  <w:num w:numId="335" w16cid:durableId="1231422391">
    <w:abstractNumId w:val="3"/>
  </w:num>
  <w:num w:numId="336" w16cid:durableId="1107654517">
    <w:abstractNumId w:val="8"/>
  </w:num>
  <w:num w:numId="337" w16cid:durableId="2054303152">
    <w:abstractNumId w:val="4"/>
  </w:num>
  <w:num w:numId="338" w16cid:durableId="1191838349">
    <w:abstractNumId w:val="5"/>
  </w:num>
  <w:num w:numId="339" w16cid:durableId="188496209">
    <w:abstractNumId w:val="6"/>
  </w:num>
  <w:num w:numId="340" w16cid:durableId="537083788">
    <w:abstractNumId w:val="7"/>
  </w:num>
  <w:num w:numId="341" w16cid:durableId="336812485">
    <w:abstractNumId w:val="9"/>
  </w:num>
  <w:num w:numId="342" w16cid:durableId="584874320">
    <w:abstractNumId w:val="0"/>
  </w:num>
  <w:num w:numId="343" w16cid:durableId="1596590612">
    <w:abstractNumId w:val="1"/>
  </w:num>
  <w:num w:numId="344" w16cid:durableId="331299422">
    <w:abstractNumId w:val="2"/>
  </w:num>
  <w:num w:numId="345" w16cid:durableId="43677384">
    <w:abstractNumId w:val="3"/>
  </w:num>
  <w:num w:numId="346" w16cid:durableId="129905316">
    <w:abstractNumId w:val="8"/>
  </w:num>
  <w:num w:numId="347" w16cid:durableId="2124153361">
    <w:abstractNumId w:val="4"/>
  </w:num>
  <w:num w:numId="348" w16cid:durableId="1900021304">
    <w:abstractNumId w:val="5"/>
  </w:num>
  <w:num w:numId="349" w16cid:durableId="294338909">
    <w:abstractNumId w:val="6"/>
  </w:num>
  <w:num w:numId="350" w16cid:durableId="674768470">
    <w:abstractNumId w:val="7"/>
  </w:num>
  <w:num w:numId="351" w16cid:durableId="1697317064">
    <w:abstractNumId w:val="9"/>
  </w:num>
  <w:num w:numId="352" w16cid:durableId="1236161895">
    <w:abstractNumId w:val="0"/>
  </w:num>
  <w:num w:numId="353" w16cid:durableId="321663882">
    <w:abstractNumId w:val="1"/>
  </w:num>
  <w:num w:numId="354" w16cid:durableId="772365522">
    <w:abstractNumId w:val="2"/>
  </w:num>
  <w:num w:numId="355" w16cid:durableId="728767406">
    <w:abstractNumId w:val="3"/>
  </w:num>
  <w:num w:numId="356" w16cid:durableId="1850482845">
    <w:abstractNumId w:val="8"/>
  </w:num>
  <w:num w:numId="357" w16cid:durableId="1025405833">
    <w:abstractNumId w:val="4"/>
  </w:num>
  <w:num w:numId="358" w16cid:durableId="1352799433">
    <w:abstractNumId w:val="5"/>
  </w:num>
  <w:num w:numId="359" w16cid:durableId="1831631466">
    <w:abstractNumId w:val="6"/>
  </w:num>
  <w:num w:numId="360" w16cid:durableId="1472476834">
    <w:abstractNumId w:val="7"/>
  </w:num>
  <w:num w:numId="361" w16cid:durableId="456920942">
    <w:abstractNumId w:val="9"/>
  </w:num>
  <w:num w:numId="362" w16cid:durableId="1361468300">
    <w:abstractNumId w:val="0"/>
  </w:num>
  <w:num w:numId="363" w16cid:durableId="2037148864">
    <w:abstractNumId w:val="1"/>
  </w:num>
  <w:num w:numId="364" w16cid:durableId="1203175587">
    <w:abstractNumId w:val="2"/>
  </w:num>
  <w:num w:numId="365" w16cid:durableId="1140996088">
    <w:abstractNumId w:val="3"/>
  </w:num>
  <w:num w:numId="366" w16cid:durableId="1597665372">
    <w:abstractNumId w:val="8"/>
  </w:num>
  <w:num w:numId="367" w16cid:durableId="1169521747">
    <w:abstractNumId w:val="4"/>
  </w:num>
  <w:num w:numId="368" w16cid:durableId="1994409636">
    <w:abstractNumId w:val="5"/>
  </w:num>
  <w:num w:numId="369" w16cid:durableId="1841433099">
    <w:abstractNumId w:val="6"/>
  </w:num>
  <w:num w:numId="370" w16cid:durableId="235669568">
    <w:abstractNumId w:val="7"/>
  </w:num>
  <w:num w:numId="371" w16cid:durableId="1989548680">
    <w:abstractNumId w:val="9"/>
  </w:num>
  <w:num w:numId="372" w16cid:durableId="186255669">
    <w:abstractNumId w:val="0"/>
  </w:num>
  <w:num w:numId="373" w16cid:durableId="572932688">
    <w:abstractNumId w:val="1"/>
  </w:num>
  <w:num w:numId="374" w16cid:durableId="1647315124">
    <w:abstractNumId w:val="2"/>
  </w:num>
  <w:num w:numId="375" w16cid:durableId="1778719146">
    <w:abstractNumId w:val="3"/>
  </w:num>
  <w:num w:numId="376" w16cid:durableId="48655380">
    <w:abstractNumId w:val="8"/>
  </w:num>
  <w:num w:numId="377" w16cid:durableId="1342270405">
    <w:abstractNumId w:val="4"/>
  </w:num>
  <w:num w:numId="378" w16cid:durableId="973871752">
    <w:abstractNumId w:val="5"/>
  </w:num>
  <w:num w:numId="379" w16cid:durableId="1048384801">
    <w:abstractNumId w:val="6"/>
  </w:num>
  <w:num w:numId="380" w16cid:durableId="1203977337">
    <w:abstractNumId w:val="7"/>
  </w:num>
  <w:num w:numId="381" w16cid:durableId="1424305990">
    <w:abstractNumId w:val="9"/>
  </w:num>
  <w:num w:numId="382" w16cid:durableId="44377173">
    <w:abstractNumId w:val="0"/>
  </w:num>
  <w:num w:numId="383" w16cid:durableId="1570529794">
    <w:abstractNumId w:val="1"/>
  </w:num>
  <w:num w:numId="384" w16cid:durableId="1436099554">
    <w:abstractNumId w:val="2"/>
  </w:num>
  <w:num w:numId="385" w16cid:durableId="426971237">
    <w:abstractNumId w:val="3"/>
  </w:num>
  <w:num w:numId="386" w16cid:durableId="689263063">
    <w:abstractNumId w:val="8"/>
  </w:num>
  <w:num w:numId="387" w16cid:durableId="1841650840">
    <w:abstractNumId w:val="4"/>
  </w:num>
  <w:num w:numId="388" w16cid:durableId="1752123181">
    <w:abstractNumId w:val="5"/>
  </w:num>
  <w:num w:numId="389" w16cid:durableId="142703708">
    <w:abstractNumId w:val="6"/>
  </w:num>
  <w:num w:numId="390" w16cid:durableId="899245744">
    <w:abstractNumId w:val="7"/>
  </w:num>
  <w:num w:numId="391" w16cid:durableId="1569464253">
    <w:abstractNumId w:val="9"/>
  </w:num>
  <w:num w:numId="392" w16cid:durableId="381563626">
    <w:abstractNumId w:val="0"/>
  </w:num>
  <w:num w:numId="393" w16cid:durableId="801846417">
    <w:abstractNumId w:val="1"/>
  </w:num>
  <w:num w:numId="394" w16cid:durableId="621418746">
    <w:abstractNumId w:val="2"/>
  </w:num>
  <w:num w:numId="395" w16cid:durableId="873156787">
    <w:abstractNumId w:val="3"/>
  </w:num>
  <w:num w:numId="396" w16cid:durableId="57672912">
    <w:abstractNumId w:val="8"/>
  </w:num>
  <w:num w:numId="397" w16cid:durableId="621571571">
    <w:abstractNumId w:val="4"/>
  </w:num>
  <w:num w:numId="398" w16cid:durableId="198317769">
    <w:abstractNumId w:val="5"/>
  </w:num>
  <w:num w:numId="399" w16cid:durableId="268047387">
    <w:abstractNumId w:val="6"/>
  </w:num>
  <w:num w:numId="400" w16cid:durableId="910851878">
    <w:abstractNumId w:val="7"/>
  </w:num>
  <w:num w:numId="401" w16cid:durableId="1399940209">
    <w:abstractNumId w:val="9"/>
  </w:num>
  <w:num w:numId="402" w16cid:durableId="136842365">
    <w:abstractNumId w:val="0"/>
  </w:num>
  <w:num w:numId="403" w16cid:durableId="1494295466">
    <w:abstractNumId w:val="1"/>
  </w:num>
  <w:num w:numId="404" w16cid:durableId="677849794">
    <w:abstractNumId w:val="2"/>
  </w:num>
  <w:num w:numId="405" w16cid:durableId="30306641">
    <w:abstractNumId w:val="3"/>
  </w:num>
  <w:num w:numId="406" w16cid:durableId="981496799">
    <w:abstractNumId w:val="8"/>
  </w:num>
  <w:num w:numId="407" w16cid:durableId="1644038402">
    <w:abstractNumId w:val="4"/>
  </w:num>
  <w:num w:numId="408" w16cid:durableId="5521588">
    <w:abstractNumId w:val="5"/>
  </w:num>
  <w:num w:numId="409" w16cid:durableId="902183745">
    <w:abstractNumId w:val="6"/>
  </w:num>
  <w:num w:numId="410" w16cid:durableId="1796680141">
    <w:abstractNumId w:val="7"/>
  </w:num>
  <w:num w:numId="411" w16cid:durableId="1623069149">
    <w:abstractNumId w:val="9"/>
  </w:num>
  <w:num w:numId="412" w16cid:durableId="1229069139">
    <w:abstractNumId w:val="0"/>
  </w:num>
  <w:num w:numId="413" w16cid:durableId="1160274308">
    <w:abstractNumId w:val="1"/>
  </w:num>
  <w:num w:numId="414" w16cid:durableId="237788577">
    <w:abstractNumId w:val="2"/>
  </w:num>
  <w:num w:numId="415" w16cid:durableId="1776637026">
    <w:abstractNumId w:val="3"/>
  </w:num>
  <w:num w:numId="416" w16cid:durableId="813135698">
    <w:abstractNumId w:val="8"/>
  </w:num>
  <w:num w:numId="417" w16cid:durableId="454911737">
    <w:abstractNumId w:val="4"/>
  </w:num>
  <w:num w:numId="418" w16cid:durableId="899091707">
    <w:abstractNumId w:val="5"/>
  </w:num>
  <w:num w:numId="419" w16cid:durableId="1450851888">
    <w:abstractNumId w:val="6"/>
  </w:num>
  <w:num w:numId="420" w16cid:durableId="68815201">
    <w:abstractNumId w:val="7"/>
  </w:num>
  <w:num w:numId="421" w16cid:durableId="576207399">
    <w:abstractNumId w:val="9"/>
  </w:num>
  <w:num w:numId="422" w16cid:durableId="218905956">
    <w:abstractNumId w:val="0"/>
  </w:num>
  <w:num w:numId="423" w16cid:durableId="501162633">
    <w:abstractNumId w:val="1"/>
  </w:num>
  <w:num w:numId="424" w16cid:durableId="77949824">
    <w:abstractNumId w:val="2"/>
  </w:num>
  <w:num w:numId="425" w16cid:durableId="508448306">
    <w:abstractNumId w:val="3"/>
  </w:num>
  <w:num w:numId="426" w16cid:durableId="224218503">
    <w:abstractNumId w:val="8"/>
  </w:num>
  <w:num w:numId="427" w16cid:durableId="659240217">
    <w:abstractNumId w:val="4"/>
  </w:num>
  <w:num w:numId="428" w16cid:durableId="2024283796">
    <w:abstractNumId w:val="5"/>
  </w:num>
  <w:num w:numId="429" w16cid:durableId="1540974656">
    <w:abstractNumId w:val="6"/>
  </w:num>
  <w:num w:numId="430" w16cid:durableId="1211573281">
    <w:abstractNumId w:val="7"/>
  </w:num>
  <w:num w:numId="431" w16cid:durableId="1888713048">
    <w:abstractNumId w:val="9"/>
  </w:num>
  <w:num w:numId="432" w16cid:durableId="866673981">
    <w:abstractNumId w:val="0"/>
  </w:num>
  <w:num w:numId="433" w16cid:durableId="1764179494">
    <w:abstractNumId w:val="1"/>
  </w:num>
  <w:num w:numId="434" w16cid:durableId="363947430">
    <w:abstractNumId w:val="2"/>
  </w:num>
  <w:num w:numId="435" w16cid:durableId="449206864">
    <w:abstractNumId w:val="3"/>
  </w:num>
  <w:num w:numId="436" w16cid:durableId="649871714">
    <w:abstractNumId w:val="8"/>
  </w:num>
  <w:num w:numId="437" w16cid:durableId="836115453">
    <w:abstractNumId w:val="4"/>
  </w:num>
  <w:num w:numId="438" w16cid:durableId="850222683">
    <w:abstractNumId w:val="5"/>
  </w:num>
  <w:num w:numId="439" w16cid:durableId="1213275530">
    <w:abstractNumId w:val="6"/>
  </w:num>
  <w:num w:numId="440" w16cid:durableId="1235774387">
    <w:abstractNumId w:val="7"/>
  </w:num>
  <w:num w:numId="441" w16cid:durableId="1034229232">
    <w:abstractNumId w:val="9"/>
  </w:num>
  <w:num w:numId="442" w16cid:durableId="1481924119">
    <w:abstractNumId w:val="0"/>
  </w:num>
  <w:num w:numId="443" w16cid:durableId="1077752757">
    <w:abstractNumId w:val="1"/>
  </w:num>
  <w:num w:numId="444" w16cid:durableId="1596401816">
    <w:abstractNumId w:val="2"/>
  </w:num>
  <w:num w:numId="445" w16cid:durableId="1995835439">
    <w:abstractNumId w:val="3"/>
  </w:num>
  <w:num w:numId="446" w16cid:durableId="1114053019">
    <w:abstractNumId w:val="8"/>
  </w:num>
  <w:num w:numId="447" w16cid:durableId="215161533">
    <w:abstractNumId w:val="4"/>
  </w:num>
  <w:num w:numId="448" w16cid:durableId="745957344">
    <w:abstractNumId w:val="5"/>
  </w:num>
  <w:num w:numId="449" w16cid:durableId="763301868">
    <w:abstractNumId w:val="6"/>
  </w:num>
  <w:num w:numId="450" w16cid:durableId="480779805">
    <w:abstractNumId w:val="7"/>
  </w:num>
  <w:num w:numId="451" w16cid:durableId="429282997">
    <w:abstractNumId w:val="9"/>
  </w:num>
  <w:num w:numId="452" w16cid:durableId="206528260">
    <w:abstractNumId w:val="0"/>
  </w:num>
  <w:num w:numId="453" w16cid:durableId="349263228">
    <w:abstractNumId w:val="1"/>
  </w:num>
  <w:num w:numId="454" w16cid:durableId="1167866718">
    <w:abstractNumId w:val="2"/>
  </w:num>
  <w:num w:numId="455" w16cid:durableId="225721472">
    <w:abstractNumId w:val="3"/>
  </w:num>
  <w:num w:numId="456" w16cid:durableId="1704406394">
    <w:abstractNumId w:val="8"/>
  </w:num>
  <w:num w:numId="457" w16cid:durableId="1050769475">
    <w:abstractNumId w:val="4"/>
  </w:num>
  <w:num w:numId="458" w16cid:durableId="1045258423">
    <w:abstractNumId w:val="5"/>
  </w:num>
  <w:num w:numId="459" w16cid:durableId="1628197880">
    <w:abstractNumId w:val="6"/>
  </w:num>
  <w:num w:numId="460" w16cid:durableId="1179350182">
    <w:abstractNumId w:val="7"/>
  </w:num>
  <w:num w:numId="461" w16cid:durableId="227302822">
    <w:abstractNumId w:val="9"/>
  </w:num>
  <w:num w:numId="462" w16cid:durableId="878669318">
    <w:abstractNumId w:val="0"/>
  </w:num>
  <w:num w:numId="463" w16cid:durableId="1070078693">
    <w:abstractNumId w:val="1"/>
  </w:num>
  <w:num w:numId="464" w16cid:durableId="1292126626">
    <w:abstractNumId w:val="2"/>
  </w:num>
  <w:num w:numId="465" w16cid:durableId="944506360">
    <w:abstractNumId w:val="3"/>
  </w:num>
  <w:num w:numId="466" w16cid:durableId="1512144037">
    <w:abstractNumId w:val="8"/>
  </w:num>
  <w:num w:numId="467" w16cid:durableId="1053237674">
    <w:abstractNumId w:val="4"/>
  </w:num>
  <w:num w:numId="468" w16cid:durableId="2118862961">
    <w:abstractNumId w:val="5"/>
  </w:num>
  <w:num w:numId="469" w16cid:durableId="1454057681">
    <w:abstractNumId w:val="6"/>
  </w:num>
  <w:num w:numId="470" w16cid:durableId="1498690811">
    <w:abstractNumId w:val="7"/>
  </w:num>
  <w:num w:numId="471" w16cid:durableId="1477188453">
    <w:abstractNumId w:val="9"/>
  </w:num>
  <w:num w:numId="472" w16cid:durableId="149560056">
    <w:abstractNumId w:val="0"/>
  </w:num>
  <w:num w:numId="473" w16cid:durableId="1305232864">
    <w:abstractNumId w:val="1"/>
  </w:num>
  <w:num w:numId="474" w16cid:durableId="1305574752">
    <w:abstractNumId w:val="2"/>
  </w:num>
  <w:num w:numId="475" w16cid:durableId="1421637682">
    <w:abstractNumId w:val="3"/>
  </w:num>
  <w:num w:numId="476" w16cid:durableId="874851939">
    <w:abstractNumId w:val="8"/>
  </w:num>
  <w:num w:numId="477" w16cid:durableId="27066692">
    <w:abstractNumId w:val="4"/>
  </w:num>
  <w:num w:numId="478" w16cid:durableId="241910650">
    <w:abstractNumId w:val="5"/>
  </w:num>
  <w:num w:numId="479" w16cid:durableId="1531793777">
    <w:abstractNumId w:val="6"/>
  </w:num>
  <w:num w:numId="480" w16cid:durableId="1585606685">
    <w:abstractNumId w:val="7"/>
  </w:num>
  <w:num w:numId="481" w16cid:durableId="665330631">
    <w:abstractNumId w:val="9"/>
  </w:num>
  <w:num w:numId="482" w16cid:durableId="544409941">
    <w:abstractNumId w:val="0"/>
  </w:num>
  <w:num w:numId="483" w16cid:durableId="1201819751">
    <w:abstractNumId w:val="1"/>
  </w:num>
  <w:num w:numId="484" w16cid:durableId="1687713982">
    <w:abstractNumId w:val="2"/>
  </w:num>
  <w:num w:numId="485" w16cid:durableId="2079936436">
    <w:abstractNumId w:val="3"/>
  </w:num>
  <w:num w:numId="486" w16cid:durableId="1836257497">
    <w:abstractNumId w:val="8"/>
  </w:num>
  <w:num w:numId="487" w16cid:durableId="1666131371">
    <w:abstractNumId w:val="4"/>
  </w:num>
  <w:num w:numId="488" w16cid:durableId="1555777397">
    <w:abstractNumId w:val="5"/>
  </w:num>
  <w:num w:numId="489" w16cid:durableId="489908682">
    <w:abstractNumId w:val="6"/>
  </w:num>
  <w:num w:numId="490" w16cid:durableId="886255272">
    <w:abstractNumId w:val="7"/>
  </w:num>
  <w:num w:numId="491" w16cid:durableId="2127842429">
    <w:abstractNumId w:val="9"/>
  </w:num>
  <w:num w:numId="492" w16cid:durableId="962921464">
    <w:abstractNumId w:val="0"/>
  </w:num>
  <w:num w:numId="493" w16cid:durableId="1521241219">
    <w:abstractNumId w:val="1"/>
  </w:num>
  <w:num w:numId="494" w16cid:durableId="1071848864">
    <w:abstractNumId w:val="2"/>
  </w:num>
  <w:num w:numId="495" w16cid:durableId="795877033">
    <w:abstractNumId w:val="3"/>
  </w:num>
  <w:num w:numId="496" w16cid:durableId="1577666888">
    <w:abstractNumId w:val="8"/>
  </w:num>
  <w:num w:numId="497" w16cid:durableId="418645410">
    <w:abstractNumId w:val="4"/>
  </w:num>
  <w:num w:numId="498" w16cid:durableId="1588493909">
    <w:abstractNumId w:val="5"/>
  </w:num>
  <w:num w:numId="499" w16cid:durableId="1303272854">
    <w:abstractNumId w:val="6"/>
  </w:num>
  <w:num w:numId="500" w16cid:durableId="405302538">
    <w:abstractNumId w:val="7"/>
  </w:num>
  <w:num w:numId="501" w16cid:durableId="190413654">
    <w:abstractNumId w:val="9"/>
  </w:num>
  <w:num w:numId="502" w16cid:durableId="1985356833">
    <w:abstractNumId w:val="0"/>
  </w:num>
  <w:num w:numId="503" w16cid:durableId="1864631438">
    <w:abstractNumId w:val="1"/>
  </w:num>
  <w:num w:numId="504" w16cid:durableId="1466316435">
    <w:abstractNumId w:val="2"/>
  </w:num>
  <w:num w:numId="505" w16cid:durableId="1721435673">
    <w:abstractNumId w:val="3"/>
  </w:num>
  <w:num w:numId="506" w16cid:durableId="1186670115">
    <w:abstractNumId w:val="8"/>
  </w:num>
  <w:num w:numId="507" w16cid:durableId="1285577964">
    <w:abstractNumId w:val="4"/>
  </w:num>
  <w:num w:numId="508" w16cid:durableId="1280724525">
    <w:abstractNumId w:val="5"/>
  </w:num>
  <w:num w:numId="509" w16cid:durableId="1006977463">
    <w:abstractNumId w:val="6"/>
  </w:num>
  <w:num w:numId="510" w16cid:durableId="67120515">
    <w:abstractNumId w:val="7"/>
  </w:num>
  <w:num w:numId="511" w16cid:durableId="979503018">
    <w:abstractNumId w:val="9"/>
  </w:num>
  <w:num w:numId="512" w16cid:durableId="912659379">
    <w:abstractNumId w:val="0"/>
  </w:num>
  <w:num w:numId="513" w16cid:durableId="506097089">
    <w:abstractNumId w:val="1"/>
  </w:num>
  <w:num w:numId="514" w16cid:durableId="664551890">
    <w:abstractNumId w:val="2"/>
  </w:num>
  <w:num w:numId="515" w16cid:durableId="241725138">
    <w:abstractNumId w:val="3"/>
  </w:num>
  <w:num w:numId="516" w16cid:durableId="1551379001">
    <w:abstractNumId w:val="8"/>
  </w:num>
  <w:num w:numId="517" w16cid:durableId="1318025799">
    <w:abstractNumId w:val="4"/>
  </w:num>
  <w:num w:numId="518" w16cid:durableId="1774157743">
    <w:abstractNumId w:val="5"/>
  </w:num>
  <w:num w:numId="519" w16cid:durableId="147403172">
    <w:abstractNumId w:val="6"/>
  </w:num>
  <w:num w:numId="520" w16cid:durableId="69430854">
    <w:abstractNumId w:val="7"/>
  </w:num>
  <w:num w:numId="521" w16cid:durableId="72433566">
    <w:abstractNumId w:val="9"/>
  </w:num>
  <w:num w:numId="522" w16cid:durableId="1150093536">
    <w:abstractNumId w:val="0"/>
  </w:num>
  <w:num w:numId="523" w16cid:durableId="674260429">
    <w:abstractNumId w:val="1"/>
  </w:num>
  <w:num w:numId="524" w16cid:durableId="1973945801">
    <w:abstractNumId w:val="2"/>
  </w:num>
  <w:num w:numId="525" w16cid:durableId="1833719512">
    <w:abstractNumId w:val="3"/>
  </w:num>
  <w:num w:numId="526" w16cid:durableId="90274407">
    <w:abstractNumId w:val="8"/>
  </w:num>
  <w:num w:numId="527" w16cid:durableId="1607037916">
    <w:abstractNumId w:val="4"/>
  </w:num>
  <w:num w:numId="528" w16cid:durableId="1002899062">
    <w:abstractNumId w:val="5"/>
  </w:num>
  <w:num w:numId="529" w16cid:durableId="872812766">
    <w:abstractNumId w:val="6"/>
  </w:num>
  <w:num w:numId="530" w16cid:durableId="1850219332">
    <w:abstractNumId w:val="7"/>
  </w:num>
  <w:num w:numId="531" w16cid:durableId="791049323">
    <w:abstractNumId w:val="9"/>
  </w:num>
  <w:num w:numId="532" w16cid:durableId="1829635412">
    <w:abstractNumId w:val="0"/>
  </w:num>
  <w:num w:numId="533" w16cid:durableId="1936935057">
    <w:abstractNumId w:val="1"/>
  </w:num>
  <w:num w:numId="534" w16cid:durableId="11693614">
    <w:abstractNumId w:val="2"/>
  </w:num>
  <w:num w:numId="535" w16cid:durableId="893195916">
    <w:abstractNumId w:val="3"/>
  </w:num>
  <w:num w:numId="536" w16cid:durableId="678506085">
    <w:abstractNumId w:val="8"/>
  </w:num>
  <w:num w:numId="537" w16cid:durableId="1462501790">
    <w:abstractNumId w:val="4"/>
  </w:num>
  <w:num w:numId="538" w16cid:durableId="2035837653">
    <w:abstractNumId w:val="5"/>
  </w:num>
  <w:num w:numId="539" w16cid:durableId="541014429">
    <w:abstractNumId w:val="6"/>
  </w:num>
  <w:num w:numId="540" w16cid:durableId="2016489957">
    <w:abstractNumId w:val="7"/>
  </w:num>
  <w:num w:numId="541" w16cid:durableId="1460344619">
    <w:abstractNumId w:val="9"/>
  </w:num>
  <w:num w:numId="542" w16cid:durableId="693730371">
    <w:abstractNumId w:val="0"/>
  </w:num>
  <w:num w:numId="543" w16cid:durableId="538779971">
    <w:abstractNumId w:val="1"/>
  </w:num>
  <w:num w:numId="544" w16cid:durableId="52000298">
    <w:abstractNumId w:val="2"/>
  </w:num>
  <w:num w:numId="545" w16cid:durableId="1755278004">
    <w:abstractNumId w:val="3"/>
  </w:num>
  <w:num w:numId="546" w16cid:durableId="1072894455">
    <w:abstractNumId w:val="8"/>
  </w:num>
  <w:num w:numId="547" w16cid:durableId="189881773">
    <w:abstractNumId w:val="4"/>
  </w:num>
  <w:num w:numId="548" w16cid:durableId="813334149">
    <w:abstractNumId w:val="5"/>
  </w:num>
  <w:num w:numId="549" w16cid:durableId="1794010680">
    <w:abstractNumId w:val="6"/>
  </w:num>
  <w:num w:numId="550" w16cid:durableId="465584145">
    <w:abstractNumId w:val="7"/>
  </w:num>
  <w:num w:numId="551" w16cid:durableId="1379889715">
    <w:abstractNumId w:val="9"/>
  </w:num>
  <w:num w:numId="552" w16cid:durableId="1642730078">
    <w:abstractNumId w:val="0"/>
  </w:num>
  <w:num w:numId="553" w16cid:durableId="375931274">
    <w:abstractNumId w:val="1"/>
  </w:num>
  <w:num w:numId="554" w16cid:durableId="2088526518">
    <w:abstractNumId w:val="2"/>
  </w:num>
  <w:num w:numId="555" w16cid:durableId="1563519824">
    <w:abstractNumId w:val="3"/>
  </w:num>
  <w:num w:numId="556" w16cid:durableId="2074543568">
    <w:abstractNumId w:val="8"/>
  </w:num>
  <w:num w:numId="557" w16cid:durableId="459155256">
    <w:abstractNumId w:val="4"/>
  </w:num>
  <w:num w:numId="558" w16cid:durableId="107242305">
    <w:abstractNumId w:val="5"/>
  </w:num>
  <w:num w:numId="559" w16cid:durableId="1729956119">
    <w:abstractNumId w:val="6"/>
  </w:num>
  <w:num w:numId="560" w16cid:durableId="1500345163">
    <w:abstractNumId w:val="7"/>
  </w:num>
  <w:num w:numId="561" w16cid:durableId="1258489271">
    <w:abstractNumId w:val="9"/>
  </w:num>
  <w:num w:numId="562" w16cid:durableId="1258322138">
    <w:abstractNumId w:val="0"/>
  </w:num>
  <w:num w:numId="563" w16cid:durableId="2139109234">
    <w:abstractNumId w:val="1"/>
  </w:num>
  <w:num w:numId="564" w16cid:durableId="432091487">
    <w:abstractNumId w:val="2"/>
  </w:num>
  <w:num w:numId="565" w16cid:durableId="2140105684">
    <w:abstractNumId w:val="3"/>
  </w:num>
  <w:num w:numId="566" w16cid:durableId="774903145">
    <w:abstractNumId w:val="8"/>
  </w:num>
  <w:num w:numId="567" w16cid:durableId="1946839783">
    <w:abstractNumId w:val="4"/>
  </w:num>
  <w:num w:numId="568" w16cid:durableId="1055927758">
    <w:abstractNumId w:val="5"/>
  </w:num>
  <w:num w:numId="569" w16cid:durableId="352852411">
    <w:abstractNumId w:val="6"/>
  </w:num>
  <w:num w:numId="570" w16cid:durableId="1803841101">
    <w:abstractNumId w:val="7"/>
  </w:num>
  <w:num w:numId="571" w16cid:durableId="484011116">
    <w:abstractNumId w:val="9"/>
  </w:num>
  <w:num w:numId="572" w16cid:durableId="1605114617">
    <w:abstractNumId w:val="0"/>
  </w:num>
  <w:num w:numId="573" w16cid:durableId="1008679555">
    <w:abstractNumId w:val="1"/>
  </w:num>
  <w:num w:numId="574" w16cid:durableId="326401266">
    <w:abstractNumId w:val="2"/>
  </w:num>
  <w:num w:numId="575" w16cid:durableId="505905130">
    <w:abstractNumId w:val="3"/>
  </w:num>
  <w:num w:numId="576" w16cid:durableId="992217714">
    <w:abstractNumId w:val="8"/>
  </w:num>
  <w:num w:numId="577" w16cid:durableId="228424112">
    <w:abstractNumId w:val="4"/>
  </w:num>
  <w:num w:numId="578" w16cid:durableId="1435781250">
    <w:abstractNumId w:val="5"/>
  </w:num>
  <w:num w:numId="579" w16cid:durableId="1885747206">
    <w:abstractNumId w:val="6"/>
  </w:num>
  <w:num w:numId="580" w16cid:durableId="611015939">
    <w:abstractNumId w:val="7"/>
  </w:num>
  <w:num w:numId="581" w16cid:durableId="736243324">
    <w:abstractNumId w:val="9"/>
  </w:num>
  <w:num w:numId="582" w16cid:durableId="68503623">
    <w:abstractNumId w:val="0"/>
  </w:num>
  <w:num w:numId="583" w16cid:durableId="129136935">
    <w:abstractNumId w:val="1"/>
  </w:num>
  <w:num w:numId="584" w16cid:durableId="1028874807">
    <w:abstractNumId w:val="2"/>
  </w:num>
  <w:num w:numId="585" w16cid:durableId="1437215297">
    <w:abstractNumId w:val="3"/>
  </w:num>
  <w:num w:numId="586" w16cid:durableId="407657591">
    <w:abstractNumId w:val="8"/>
  </w:num>
  <w:num w:numId="587" w16cid:durableId="1230925760">
    <w:abstractNumId w:val="4"/>
  </w:num>
  <w:num w:numId="588" w16cid:durableId="222907470">
    <w:abstractNumId w:val="5"/>
  </w:num>
  <w:num w:numId="589" w16cid:durableId="892614457">
    <w:abstractNumId w:val="6"/>
  </w:num>
  <w:num w:numId="590" w16cid:durableId="1035348840">
    <w:abstractNumId w:val="7"/>
  </w:num>
  <w:num w:numId="591" w16cid:durableId="397367884">
    <w:abstractNumId w:val="9"/>
  </w:num>
  <w:num w:numId="592" w16cid:durableId="410739638">
    <w:abstractNumId w:val="0"/>
  </w:num>
  <w:num w:numId="593" w16cid:durableId="2034645646">
    <w:abstractNumId w:val="1"/>
  </w:num>
  <w:num w:numId="594" w16cid:durableId="369695356">
    <w:abstractNumId w:val="2"/>
  </w:num>
  <w:num w:numId="595" w16cid:durableId="2040813261">
    <w:abstractNumId w:val="3"/>
  </w:num>
  <w:num w:numId="596" w16cid:durableId="842012204">
    <w:abstractNumId w:val="8"/>
  </w:num>
  <w:num w:numId="597" w16cid:durableId="1524897255">
    <w:abstractNumId w:val="4"/>
  </w:num>
  <w:num w:numId="598" w16cid:durableId="1446926953">
    <w:abstractNumId w:val="5"/>
  </w:num>
  <w:num w:numId="599" w16cid:durableId="2062169792">
    <w:abstractNumId w:val="6"/>
  </w:num>
  <w:num w:numId="600" w16cid:durableId="1268269066">
    <w:abstractNumId w:val="7"/>
  </w:num>
  <w:num w:numId="601" w16cid:durableId="1713462714">
    <w:abstractNumId w:val="9"/>
  </w:num>
  <w:num w:numId="602" w16cid:durableId="872695911">
    <w:abstractNumId w:val="0"/>
  </w:num>
  <w:num w:numId="603" w16cid:durableId="554123359">
    <w:abstractNumId w:val="1"/>
  </w:num>
  <w:num w:numId="604" w16cid:durableId="2140609051">
    <w:abstractNumId w:val="2"/>
  </w:num>
  <w:num w:numId="605" w16cid:durableId="1315836828">
    <w:abstractNumId w:val="3"/>
  </w:num>
  <w:num w:numId="606" w16cid:durableId="1026519828">
    <w:abstractNumId w:val="8"/>
  </w:num>
  <w:num w:numId="607" w16cid:durableId="956835667">
    <w:abstractNumId w:val="4"/>
  </w:num>
  <w:num w:numId="608" w16cid:durableId="913003969">
    <w:abstractNumId w:val="5"/>
  </w:num>
  <w:num w:numId="609" w16cid:durableId="311297010">
    <w:abstractNumId w:val="6"/>
  </w:num>
  <w:num w:numId="610" w16cid:durableId="1376737685">
    <w:abstractNumId w:val="7"/>
  </w:num>
  <w:num w:numId="611" w16cid:durableId="47533511">
    <w:abstractNumId w:val="9"/>
  </w:num>
  <w:num w:numId="612" w16cid:durableId="2028872958">
    <w:abstractNumId w:val="0"/>
  </w:num>
  <w:num w:numId="613" w16cid:durableId="2017534556">
    <w:abstractNumId w:val="1"/>
  </w:num>
  <w:num w:numId="614" w16cid:durableId="443505446">
    <w:abstractNumId w:val="2"/>
  </w:num>
  <w:num w:numId="615" w16cid:durableId="1820532417">
    <w:abstractNumId w:val="3"/>
  </w:num>
  <w:num w:numId="616" w16cid:durableId="1315377518">
    <w:abstractNumId w:val="8"/>
  </w:num>
  <w:num w:numId="617" w16cid:durableId="290794236">
    <w:abstractNumId w:val="4"/>
  </w:num>
  <w:num w:numId="618" w16cid:durableId="743574441">
    <w:abstractNumId w:val="5"/>
  </w:num>
  <w:num w:numId="619" w16cid:durableId="214321625">
    <w:abstractNumId w:val="6"/>
  </w:num>
  <w:num w:numId="620" w16cid:durableId="773982139">
    <w:abstractNumId w:val="7"/>
  </w:num>
  <w:num w:numId="621" w16cid:durableId="1408772973">
    <w:abstractNumId w:val="9"/>
  </w:num>
  <w:num w:numId="622" w16cid:durableId="729571341">
    <w:abstractNumId w:val="0"/>
  </w:num>
  <w:num w:numId="623" w16cid:durableId="364599011">
    <w:abstractNumId w:val="1"/>
  </w:num>
  <w:num w:numId="624" w16cid:durableId="942424480">
    <w:abstractNumId w:val="2"/>
  </w:num>
  <w:num w:numId="625" w16cid:durableId="630088322">
    <w:abstractNumId w:val="3"/>
  </w:num>
  <w:num w:numId="626" w16cid:durableId="1966932559">
    <w:abstractNumId w:val="8"/>
  </w:num>
  <w:num w:numId="627" w16cid:durableId="151605838">
    <w:abstractNumId w:val="4"/>
  </w:num>
  <w:num w:numId="628" w16cid:durableId="2064062289">
    <w:abstractNumId w:val="5"/>
  </w:num>
  <w:num w:numId="629" w16cid:durableId="505945587">
    <w:abstractNumId w:val="6"/>
  </w:num>
  <w:num w:numId="630" w16cid:durableId="1421485164">
    <w:abstractNumId w:val="7"/>
  </w:num>
  <w:num w:numId="631" w16cid:durableId="1027174798">
    <w:abstractNumId w:val="9"/>
  </w:num>
  <w:num w:numId="632" w16cid:durableId="173570480">
    <w:abstractNumId w:val="0"/>
  </w:num>
  <w:num w:numId="633" w16cid:durableId="844173856">
    <w:abstractNumId w:val="1"/>
  </w:num>
  <w:num w:numId="634" w16cid:durableId="703793974">
    <w:abstractNumId w:val="2"/>
  </w:num>
  <w:num w:numId="635" w16cid:durableId="25713306">
    <w:abstractNumId w:val="3"/>
  </w:num>
  <w:num w:numId="636" w16cid:durableId="1874879848">
    <w:abstractNumId w:val="8"/>
  </w:num>
  <w:num w:numId="637" w16cid:durableId="932006406">
    <w:abstractNumId w:val="4"/>
  </w:num>
  <w:num w:numId="638" w16cid:durableId="1846699967">
    <w:abstractNumId w:val="5"/>
  </w:num>
  <w:num w:numId="639" w16cid:durableId="605772443">
    <w:abstractNumId w:val="6"/>
  </w:num>
  <w:num w:numId="640" w16cid:durableId="46883997">
    <w:abstractNumId w:val="7"/>
  </w:num>
  <w:num w:numId="641" w16cid:durableId="2106148268">
    <w:abstractNumId w:val="9"/>
  </w:num>
  <w:num w:numId="642" w16cid:durableId="2120441125">
    <w:abstractNumId w:val="0"/>
  </w:num>
  <w:num w:numId="643" w16cid:durableId="665279919">
    <w:abstractNumId w:val="1"/>
  </w:num>
  <w:num w:numId="644" w16cid:durableId="628782391">
    <w:abstractNumId w:val="2"/>
  </w:num>
  <w:num w:numId="645" w16cid:durableId="1530753134">
    <w:abstractNumId w:val="3"/>
  </w:num>
  <w:num w:numId="646" w16cid:durableId="462388468">
    <w:abstractNumId w:val="8"/>
  </w:num>
  <w:num w:numId="647" w16cid:durableId="1665552893">
    <w:abstractNumId w:val="4"/>
  </w:num>
  <w:num w:numId="648" w16cid:durableId="354157896">
    <w:abstractNumId w:val="5"/>
  </w:num>
  <w:num w:numId="649" w16cid:durableId="1262910301">
    <w:abstractNumId w:val="6"/>
  </w:num>
  <w:num w:numId="650" w16cid:durableId="72314616">
    <w:abstractNumId w:val="7"/>
  </w:num>
  <w:num w:numId="651" w16cid:durableId="1542551818">
    <w:abstractNumId w:val="9"/>
  </w:num>
  <w:num w:numId="652" w16cid:durableId="556666725">
    <w:abstractNumId w:val="0"/>
  </w:num>
  <w:num w:numId="653" w16cid:durableId="264384182">
    <w:abstractNumId w:val="1"/>
  </w:num>
  <w:num w:numId="654" w16cid:durableId="729497962">
    <w:abstractNumId w:val="2"/>
  </w:num>
  <w:num w:numId="655" w16cid:durableId="1187207433">
    <w:abstractNumId w:val="3"/>
  </w:num>
  <w:num w:numId="656" w16cid:durableId="1547795409">
    <w:abstractNumId w:val="8"/>
  </w:num>
  <w:num w:numId="657" w16cid:durableId="1441415013">
    <w:abstractNumId w:val="4"/>
  </w:num>
  <w:num w:numId="658" w16cid:durableId="1113935151">
    <w:abstractNumId w:val="5"/>
  </w:num>
  <w:num w:numId="659" w16cid:durableId="998966327">
    <w:abstractNumId w:val="6"/>
  </w:num>
  <w:num w:numId="660" w16cid:durableId="1735422341">
    <w:abstractNumId w:val="7"/>
  </w:num>
  <w:num w:numId="661" w16cid:durableId="1899129070">
    <w:abstractNumId w:val="9"/>
  </w:num>
  <w:num w:numId="662" w16cid:durableId="1507288862">
    <w:abstractNumId w:val="0"/>
  </w:num>
  <w:num w:numId="663" w16cid:durableId="1801533989">
    <w:abstractNumId w:val="1"/>
  </w:num>
  <w:num w:numId="664" w16cid:durableId="1705786621">
    <w:abstractNumId w:val="2"/>
  </w:num>
  <w:num w:numId="665" w16cid:durableId="13772971">
    <w:abstractNumId w:val="3"/>
  </w:num>
  <w:num w:numId="666" w16cid:durableId="972178008">
    <w:abstractNumId w:val="8"/>
  </w:num>
  <w:num w:numId="667" w16cid:durableId="692191252">
    <w:abstractNumId w:val="4"/>
  </w:num>
  <w:num w:numId="668" w16cid:durableId="1062868856">
    <w:abstractNumId w:val="5"/>
  </w:num>
  <w:num w:numId="669" w16cid:durableId="1022515557">
    <w:abstractNumId w:val="6"/>
  </w:num>
  <w:num w:numId="670" w16cid:durableId="564266270">
    <w:abstractNumId w:val="7"/>
  </w:num>
  <w:num w:numId="671" w16cid:durableId="1016346623">
    <w:abstractNumId w:val="9"/>
  </w:num>
  <w:num w:numId="672" w16cid:durableId="1955555601">
    <w:abstractNumId w:val="0"/>
  </w:num>
  <w:num w:numId="673" w16cid:durableId="1481531692">
    <w:abstractNumId w:val="1"/>
  </w:num>
  <w:num w:numId="674" w16cid:durableId="1888908444">
    <w:abstractNumId w:val="2"/>
  </w:num>
  <w:num w:numId="675" w16cid:durableId="116679714">
    <w:abstractNumId w:val="3"/>
  </w:num>
  <w:num w:numId="676" w16cid:durableId="205066495">
    <w:abstractNumId w:val="8"/>
  </w:num>
  <w:num w:numId="677" w16cid:durableId="498084813">
    <w:abstractNumId w:val="4"/>
  </w:num>
  <w:num w:numId="678" w16cid:durableId="2026470591">
    <w:abstractNumId w:val="5"/>
  </w:num>
  <w:num w:numId="679" w16cid:durableId="240068118">
    <w:abstractNumId w:val="6"/>
  </w:num>
  <w:num w:numId="680" w16cid:durableId="534345134">
    <w:abstractNumId w:val="7"/>
  </w:num>
  <w:num w:numId="681" w16cid:durableId="229585712">
    <w:abstractNumId w:val="9"/>
  </w:num>
  <w:num w:numId="682" w16cid:durableId="1187982644">
    <w:abstractNumId w:val="0"/>
  </w:num>
  <w:num w:numId="683" w16cid:durableId="1752653794">
    <w:abstractNumId w:val="1"/>
  </w:num>
  <w:num w:numId="684" w16cid:durableId="402064053">
    <w:abstractNumId w:val="2"/>
  </w:num>
  <w:num w:numId="685" w16cid:durableId="2111506695">
    <w:abstractNumId w:val="3"/>
  </w:num>
  <w:num w:numId="686" w16cid:durableId="1818496345">
    <w:abstractNumId w:val="8"/>
  </w:num>
  <w:num w:numId="687" w16cid:durableId="1574241981">
    <w:abstractNumId w:val="4"/>
  </w:num>
  <w:num w:numId="688" w16cid:durableId="1242836046">
    <w:abstractNumId w:val="5"/>
  </w:num>
  <w:num w:numId="689" w16cid:durableId="509180516">
    <w:abstractNumId w:val="6"/>
  </w:num>
  <w:num w:numId="690" w16cid:durableId="269893330">
    <w:abstractNumId w:val="7"/>
  </w:num>
  <w:num w:numId="691" w16cid:durableId="112792533">
    <w:abstractNumId w:val="9"/>
  </w:num>
  <w:num w:numId="692" w16cid:durableId="1172138993">
    <w:abstractNumId w:val="20"/>
  </w:num>
  <w:num w:numId="693" w16cid:durableId="1187255712">
    <w:abstractNumId w:val="15"/>
  </w:num>
  <w:num w:numId="694" w16cid:durableId="1157842399">
    <w:abstractNumId w:val="24"/>
  </w:num>
  <w:num w:numId="695" w16cid:durableId="2052655802">
    <w:abstractNumId w:val="23"/>
  </w:num>
  <w:num w:numId="696" w16cid:durableId="184944621">
    <w:abstractNumId w:val="0"/>
  </w:num>
  <w:num w:numId="697" w16cid:durableId="889420870">
    <w:abstractNumId w:val="1"/>
  </w:num>
  <w:num w:numId="698" w16cid:durableId="755055096">
    <w:abstractNumId w:val="2"/>
  </w:num>
  <w:num w:numId="699" w16cid:durableId="1755129576">
    <w:abstractNumId w:val="3"/>
  </w:num>
  <w:num w:numId="700" w16cid:durableId="1544556220">
    <w:abstractNumId w:val="8"/>
  </w:num>
  <w:num w:numId="701" w16cid:durableId="1744526507">
    <w:abstractNumId w:val="4"/>
  </w:num>
  <w:num w:numId="702" w16cid:durableId="929192420">
    <w:abstractNumId w:val="5"/>
  </w:num>
  <w:num w:numId="703" w16cid:durableId="1885168867">
    <w:abstractNumId w:val="6"/>
  </w:num>
  <w:num w:numId="704" w16cid:durableId="838157389">
    <w:abstractNumId w:val="7"/>
  </w:num>
  <w:num w:numId="705" w16cid:durableId="1046024848">
    <w:abstractNumId w:val="9"/>
  </w:num>
  <w:num w:numId="706" w16cid:durableId="1784812144">
    <w:abstractNumId w:val="0"/>
  </w:num>
  <w:num w:numId="707" w16cid:durableId="1726029406">
    <w:abstractNumId w:val="1"/>
  </w:num>
  <w:num w:numId="708" w16cid:durableId="1929386897">
    <w:abstractNumId w:val="2"/>
  </w:num>
  <w:num w:numId="709" w16cid:durableId="1147669902">
    <w:abstractNumId w:val="3"/>
  </w:num>
  <w:num w:numId="710" w16cid:durableId="416710225">
    <w:abstractNumId w:val="8"/>
  </w:num>
  <w:num w:numId="711" w16cid:durableId="1187720317">
    <w:abstractNumId w:val="4"/>
  </w:num>
  <w:num w:numId="712" w16cid:durableId="352612307">
    <w:abstractNumId w:val="5"/>
  </w:num>
  <w:num w:numId="713" w16cid:durableId="609747620">
    <w:abstractNumId w:val="6"/>
  </w:num>
  <w:num w:numId="714" w16cid:durableId="638536954">
    <w:abstractNumId w:val="7"/>
  </w:num>
  <w:num w:numId="715" w16cid:durableId="918754438">
    <w:abstractNumId w:val="9"/>
  </w:num>
  <w:num w:numId="716" w16cid:durableId="1275013997">
    <w:abstractNumId w:val="0"/>
  </w:num>
  <w:num w:numId="717" w16cid:durableId="1746341887">
    <w:abstractNumId w:val="1"/>
  </w:num>
  <w:num w:numId="718" w16cid:durableId="379326627">
    <w:abstractNumId w:val="2"/>
  </w:num>
  <w:num w:numId="719" w16cid:durableId="1015114510">
    <w:abstractNumId w:val="3"/>
  </w:num>
  <w:num w:numId="720" w16cid:durableId="1350763305">
    <w:abstractNumId w:val="8"/>
  </w:num>
  <w:num w:numId="721" w16cid:durableId="1312128524">
    <w:abstractNumId w:val="4"/>
  </w:num>
  <w:num w:numId="722" w16cid:durableId="786509819">
    <w:abstractNumId w:val="5"/>
  </w:num>
  <w:num w:numId="723" w16cid:durableId="1935240418">
    <w:abstractNumId w:val="6"/>
  </w:num>
  <w:num w:numId="724" w16cid:durableId="1696225693">
    <w:abstractNumId w:val="7"/>
  </w:num>
  <w:num w:numId="725" w16cid:durableId="67584333">
    <w:abstractNumId w:val="9"/>
  </w:num>
  <w:num w:numId="726" w16cid:durableId="1086610361">
    <w:abstractNumId w:val="0"/>
  </w:num>
  <w:num w:numId="727" w16cid:durableId="421226920">
    <w:abstractNumId w:val="1"/>
  </w:num>
  <w:num w:numId="728" w16cid:durableId="1199316785">
    <w:abstractNumId w:val="2"/>
  </w:num>
  <w:num w:numId="729" w16cid:durableId="832063480">
    <w:abstractNumId w:val="3"/>
  </w:num>
  <w:num w:numId="730" w16cid:durableId="1184242511">
    <w:abstractNumId w:val="8"/>
  </w:num>
  <w:num w:numId="731" w16cid:durableId="383067136">
    <w:abstractNumId w:val="4"/>
  </w:num>
  <w:num w:numId="732" w16cid:durableId="377514703">
    <w:abstractNumId w:val="5"/>
  </w:num>
  <w:num w:numId="733" w16cid:durableId="1468350129">
    <w:abstractNumId w:val="6"/>
  </w:num>
  <w:num w:numId="734" w16cid:durableId="1143548060">
    <w:abstractNumId w:val="7"/>
  </w:num>
  <w:num w:numId="735" w16cid:durableId="453600699">
    <w:abstractNumId w:val="9"/>
  </w:num>
  <w:num w:numId="736" w16cid:durableId="52044530">
    <w:abstractNumId w:val="0"/>
  </w:num>
  <w:num w:numId="737" w16cid:durableId="1731609978">
    <w:abstractNumId w:val="1"/>
  </w:num>
  <w:num w:numId="738" w16cid:durableId="1398287970">
    <w:abstractNumId w:val="2"/>
  </w:num>
  <w:num w:numId="739" w16cid:durableId="653527491">
    <w:abstractNumId w:val="3"/>
  </w:num>
  <w:num w:numId="740" w16cid:durableId="4212694">
    <w:abstractNumId w:val="8"/>
  </w:num>
  <w:num w:numId="741" w16cid:durableId="594940799">
    <w:abstractNumId w:val="4"/>
  </w:num>
  <w:num w:numId="742" w16cid:durableId="1340238169">
    <w:abstractNumId w:val="5"/>
  </w:num>
  <w:num w:numId="743" w16cid:durableId="666329631">
    <w:abstractNumId w:val="6"/>
  </w:num>
  <w:num w:numId="744" w16cid:durableId="627392933">
    <w:abstractNumId w:val="7"/>
  </w:num>
  <w:num w:numId="745" w16cid:durableId="650793831">
    <w:abstractNumId w:val="9"/>
  </w:num>
  <w:num w:numId="746" w16cid:durableId="100951820">
    <w:abstractNumId w:val="13"/>
  </w:num>
  <w:num w:numId="747" w16cid:durableId="1339498604">
    <w:abstractNumId w:val="29"/>
  </w:num>
  <w:num w:numId="748" w16cid:durableId="1308628047">
    <w:abstractNumId w:val="17"/>
  </w:num>
  <w:num w:numId="749" w16cid:durableId="1564291367">
    <w:abstractNumId w:val="25"/>
  </w:num>
  <w:num w:numId="750" w16cid:durableId="455871157">
    <w:abstractNumId w:val="28"/>
  </w:num>
  <w:num w:numId="751" w16cid:durableId="9585332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3"/>
    <w:rsid w:val="00000127"/>
    <w:rsid w:val="0001766C"/>
    <w:rsid w:val="0003353F"/>
    <w:rsid w:val="0004126A"/>
    <w:rsid w:val="00042CF2"/>
    <w:rsid w:val="0004316D"/>
    <w:rsid w:val="00045632"/>
    <w:rsid w:val="00052A10"/>
    <w:rsid w:val="00060598"/>
    <w:rsid w:val="00061055"/>
    <w:rsid w:val="00061D29"/>
    <w:rsid w:val="00064FB2"/>
    <w:rsid w:val="00072C82"/>
    <w:rsid w:val="000777FC"/>
    <w:rsid w:val="000778E6"/>
    <w:rsid w:val="00084EC4"/>
    <w:rsid w:val="000947AD"/>
    <w:rsid w:val="00095237"/>
    <w:rsid w:val="000A1CC7"/>
    <w:rsid w:val="000A6003"/>
    <w:rsid w:val="000B220E"/>
    <w:rsid w:val="000C7F52"/>
    <w:rsid w:val="000E12A1"/>
    <w:rsid w:val="000E24FD"/>
    <w:rsid w:val="000F5543"/>
    <w:rsid w:val="001176F6"/>
    <w:rsid w:val="00131360"/>
    <w:rsid w:val="00132EBC"/>
    <w:rsid w:val="0014139F"/>
    <w:rsid w:val="00153960"/>
    <w:rsid w:val="00160550"/>
    <w:rsid w:val="00187F56"/>
    <w:rsid w:val="00191C5E"/>
    <w:rsid w:val="001A490C"/>
    <w:rsid w:val="001A66C4"/>
    <w:rsid w:val="001A66ED"/>
    <w:rsid w:val="001B3D04"/>
    <w:rsid w:val="001D248B"/>
    <w:rsid w:val="001D4739"/>
    <w:rsid w:val="001D6446"/>
    <w:rsid w:val="001E02F4"/>
    <w:rsid w:val="001E2A07"/>
    <w:rsid w:val="001F7345"/>
    <w:rsid w:val="002031C7"/>
    <w:rsid w:val="00206398"/>
    <w:rsid w:val="0020782E"/>
    <w:rsid w:val="00215557"/>
    <w:rsid w:val="00217FE0"/>
    <w:rsid w:val="00232228"/>
    <w:rsid w:val="0023682C"/>
    <w:rsid w:val="00241A4D"/>
    <w:rsid w:val="00245AF0"/>
    <w:rsid w:val="002546E8"/>
    <w:rsid w:val="00260E66"/>
    <w:rsid w:val="00262543"/>
    <w:rsid w:val="00276017"/>
    <w:rsid w:val="002763DB"/>
    <w:rsid w:val="00282601"/>
    <w:rsid w:val="00282D79"/>
    <w:rsid w:val="00286CD8"/>
    <w:rsid w:val="002A4D8E"/>
    <w:rsid w:val="002A79B7"/>
    <w:rsid w:val="002B1CD3"/>
    <w:rsid w:val="002B2ECA"/>
    <w:rsid w:val="002B548A"/>
    <w:rsid w:val="002B661C"/>
    <w:rsid w:val="002C4AA8"/>
    <w:rsid w:val="002D219F"/>
    <w:rsid w:val="002D2951"/>
    <w:rsid w:val="002D2E99"/>
    <w:rsid w:val="002D3ED5"/>
    <w:rsid w:val="002E65B2"/>
    <w:rsid w:val="00302FDC"/>
    <w:rsid w:val="00303A8B"/>
    <w:rsid w:val="003074D2"/>
    <w:rsid w:val="00311F20"/>
    <w:rsid w:val="00313184"/>
    <w:rsid w:val="00316C60"/>
    <w:rsid w:val="00337BA3"/>
    <w:rsid w:val="0034623E"/>
    <w:rsid w:val="0034704D"/>
    <w:rsid w:val="0035479C"/>
    <w:rsid w:val="003567EA"/>
    <w:rsid w:val="00357DF3"/>
    <w:rsid w:val="00360083"/>
    <w:rsid w:val="00365C27"/>
    <w:rsid w:val="00375FA6"/>
    <w:rsid w:val="0038042C"/>
    <w:rsid w:val="003818D4"/>
    <w:rsid w:val="00383CC2"/>
    <w:rsid w:val="00383F02"/>
    <w:rsid w:val="003A5F54"/>
    <w:rsid w:val="003B34DD"/>
    <w:rsid w:val="003B6F36"/>
    <w:rsid w:val="003B7CF7"/>
    <w:rsid w:val="003C04AC"/>
    <w:rsid w:val="003C061B"/>
    <w:rsid w:val="003D5638"/>
    <w:rsid w:val="003D75D4"/>
    <w:rsid w:val="003E61A7"/>
    <w:rsid w:val="003E7B4B"/>
    <w:rsid w:val="003F10C2"/>
    <w:rsid w:val="003F71B2"/>
    <w:rsid w:val="00420823"/>
    <w:rsid w:val="004239F3"/>
    <w:rsid w:val="00434FAC"/>
    <w:rsid w:val="00437B2C"/>
    <w:rsid w:val="00440BBC"/>
    <w:rsid w:val="00456990"/>
    <w:rsid w:val="00464FC8"/>
    <w:rsid w:val="00477C55"/>
    <w:rsid w:val="004854E0"/>
    <w:rsid w:val="0049161A"/>
    <w:rsid w:val="004A5F51"/>
    <w:rsid w:val="004A6923"/>
    <w:rsid w:val="004A7B13"/>
    <w:rsid w:val="004C300D"/>
    <w:rsid w:val="004C578D"/>
    <w:rsid w:val="004D597C"/>
    <w:rsid w:val="004D5C4A"/>
    <w:rsid w:val="004D6C7F"/>
    <w:rsid w:val="004E4C4F"/>
    <w:rsid w:val="004F3EF4"/>
    <w:rsid w:val="004F61DD"/>
    <w:rsid w:val="004F7726"/>
    <w:rsid w:val="00507F92"/>
    <w:rsid w:val="00512255"/>
    <w:rsid w:val="00516D36"/>
    <w:rsid w:val="005256E7"/>
    <w:rsid w:val="005435FE"/>
    <w:rsid w:val="005631A1"/>
    <w:rsid w:val="00566AF6"/>
    <w:rsid w:val="00574B8F"/>
    <w:rsid w:val="00584608"/>
    <w:rsid w:val="00594CD5"/>
    <w:rsid w:val="005A27CD"/>
    <w:rsid w:val="005A36F9"/>
    <w:rsid w:val="005A6A5B"/>
    <w:rsid w:val="005A6C3E"/>
    <w:rsid w:val="005B143F"/>
    <w:rsid w:val="005B59DC"/>
    <w:rsid w:val="005C6F86"/>
    <w:rsid w:val="005D014A"/>
    <w:rsid w:val="005D70F0"/>
    <w:rsid w:val="005E6911"/>
    <w:rsid w:val="0060078B"/>
    <w:rsid w:val="006251A5"/>
    <w:rsid w:val="006268A1"/>
    <w:rsid w:val="00635005"/>
    <w:rsid w:val="00644607"/>
    <w:rsid w:val="0065536C"/>
    <w:rsid w:val="00656AB6"/>
    <w:rsid w:val="00662C9A"/>
    <w:rsid w:val="00673AF0"/>
    <w:rsid w:val="006743A6"/>
    <w:rsid w:val="00675D84"/>
    <w:rsid w:val="006812E7"/>
    <w:rsid w:val="00691C7F"/>
    <w:rsid w:val="00694EAE"/>
    <w:rsid w:val="006B010D"/>
    <w:rsid w:val="006B1859"/>
    <w:rsid w:val="006B4673"/>
    <w:rsid w:val="006C2722"/>
    <w:rsid w:val="006C46D1"/>
    <w:rsid w:val="006C78CB"/>
    <w:rsid w:val="006D77DC"/>
    <w:rsid w:val="006E2AF4"/>
    <w:rsid w:val="006F0DEA"/>
    <w:rsid w:val="006F23F0"/>
    <w:rsid w:val="006F5373"/>
    <w:rsid w:val="00700A0B"/>
    <w:rsid w:val="00720CE6"/>
    <w:rsid w:val="0072506F"/>
    <w:rsid w:val="00750FE5"/>
    <w:rsid w:val="007615B3"/>
    <w:rsid w:val="00770211"/>
    <w:rsid w:val="0078741D"/>
    <w:rsid w:val="0079257E"/>
    <w:rsid w:val="00794709"/>
    <w:rsid w:val="007A0BB5"/>
    <w:rsid w:val="007A3B07"/>
    <w:rsid w:val="007B247A"/>
    <w:rsid w:val="007B2F92"/>
    <w:rsid w:val="007B5C6D"/>
    <w:rsid w:val="007E082C"/>
    <w:rsid w:val="007E21A8"/>
    <w:rsid w:val="007E78DE"/>
    <w:rsid w:val="007F68D0"/>
    <w:rsid w:val="00807500"/>
    <w:rsid w:val="00823CDD"/>
    <w:rsid w:val="008278C8"/>
    <w:rsid w:val="008302DE"/>
    <w:rsid w:val="00835208"/>
    <w:rsid w:val="00871709"/>
    <w:rsid w:val="00876FAA"/>
    <w:rsid w:val="00884362"/>
    <w:rsid w:val="00885061"/>
    <w:rsid w:val="008869D7"/>
    <w:rsid w:val="00890CEA"/>
    <w:rsid w:val="008923FE"/>
    <w:rsid w:val="008B4CA0"/>
    <w:rsid w:val="008B5CAC"/>
    <w:rsid w:val="008C10BD"/>
    <w:rsid w:val="008E3037"/>
    <w:rsid w:val="008F02B7"/>
    <w:rsid w:val="008F18AC"/>
    <w:rsid w:val="0090761F"/>
    <w:rsid w:val="00910C4E"/>
    <w:rsid w:val="009466A3"/>
    <w:rsid w:val="00947677"/>
    <w:rsid w:val="009479D3"/>
    <w:rsid w:val="00947C20"/>
    <w:rsid w:val="00950CA4"/>
    <w:rsid w:val="009537AD"/>
    <w:rsid w:val="00963293"/>
    <w:rsid w:val="0097069F"/>
    <w:rsid w:val="00976221"/>
    <w:rsid w:val="00980618"/>
    <w:rsid w:val="00981DB4"/>
    <w:rsid w:val="009860BE"/>
    <w:rsid w:val="00987E3D"/>
    <w:rsid w:val="00996BC6"/>
    <w:rsid w:val="009D00CD"/>
    <w:rsid w:val="009D0F65"/>
    <w:rsid w:val="009D218F"/>
    <w:rsid w:val="009D3E63"/>
    <w:rsid w:val="009D558E"/>
    <w:rsid w:val="009F44FE"/>
    <w:rsid w:val="009F66CF"/>
    <w:rsid w:val="00A027AF"/>
    <w:rsid w:val="00A07A73"/>
    <w:rsid w:val="00A16D52"/>
    <w:rsid w:val="00A17943"/>
    <w:rsid w:val="00A36ADB"/>
    <w:rsid w:val="00A40ECB"/>
    <w:rsid w:val="00A44D86"/>
    <w:rsid w:val="00A52B36"/>
    <w:rsid w:val="00A53C01"/>
    <w:rsid w:val="00A92412"/>
    <w:rsid w:val="00A92874"/>
    <w:rsid w:val="00AA07A1"/>
    <w:rsid w:val="00AA374F"/>
    <w:rsid w:val="00AB2CE2"/>
    <w:rsid w:val="00AB65AB"/>
    <w:rsid w:val="00AB75E5"/>
    <w:rsid w:val="00AD0713"/>
    <w:rsid w:val="00AD2861"/>
    <w:rsid w:val="00AD38D3"/>
    <w:rsid w:val="00AD466E"/>
    <w:rsid w:val="00AD6391"/>
    <w:rsid w:val="00B02142"/>
    <w:rsid w:val="00B069E7"/>
    <w:rsid w:val="00B15A43"/>
    <w:rsid w:val="00B20777"/>
    <w:rsid w:val="00B265F0"/>
    <w:rsid w:val="00B41542"/>
    <w:rsid w:val="00B56BFD"/>
    <w:rsid w:val="00B67CDD"/>
    <w:rsid w:val="00B84CE9"/>
    <w:rsid w:val="00B9690A"/>
    <w:rsid w:val="00B9782D"/>
    <w:rsid w:val="00BA3673"/>
    <w:rsid w:val="00BB1906"/>
    <w:rsid w:val="00BB5CA5"/>
    <w:rsid w:val="00BC001A"/>
    <w:rsid w:val="00BC5C1D"/>
    <w:rsid w:val="00BC6144"/>
    <w:rsid w:val="00BD1989"/>
    <w:rsid w:val="00BE5B0B"/>
    <w:rsid w:val="00C07B6C"/>
    <w:rsid w:val="00C20AB8"/>
    <w:rsid w:val="00C262E5"/>
    <w:rsid w:val="00C33D66"/>
    <w:rsid w:val="00C36F3D"/>
    <w:rsid w:val="00C43974"/>
    <w:rsid w:val="00C45B24"/>
    <w:rsid w:val="00C52CDF"/>
    <w:rsid w:val="00C5772E"/>
    <w:rsid w:val="00C60703"/>
    <w:rsid w:val="00C64B4C"/>
    <w:rsid w:val="00C65BEF"/>
    <w:rsid w:val="00C67DCD"/>
    <w:rsid w:val="00C70BBB"/>
    <w:rsid w:val="00C73CB6"/>
    <w:rsid w:val="00C81CAE"/>
    <w:rsid w:val="00C94DDB"/>
    <w:rsid w:val="00C9612D"/>
    <w:rsid w:val="00C97139"/>
    <w:rsid w:val="00CA2B0C"/>
    <w:rsid w:val="00CB10E8"/>
    <w:rsid w:val="00CD1D43"/>
    <w:rsid w:val="00CE5FED"/>
    <w:rsid w:val="00CF26D0"/>
    <w:rsid w:val="00CF3ABC"/>
    <w:rsid w:val="00CF40EA"/>
    <w:rsid w:val="00CF62A6"/>
    <w:rsid w:val="00D07F29"/>
    <w:rsid w:val="00D246B8"/>
    <w:rsid w:val="00D335B2"/>
    <w:rsid w:val="00D35069"/>
    <w:rsid w:val="00D70171"/>
    <w:rsid w:val="00D704E2"/>
    <w:rsid w:val="00D7158F"/>
    <w:rsid w:val="00D86C1A"/>
    <w:rsid w:val="00D93367"/>
    <w:rsid w:val="00D956C8"/>
    <w:rsid w:val="00D958B2"/>
    <w:rsid w:val="00DA35FA"/>
    <w:rsid w:val="00DB1F1F"/>
    <w:rsid w:val="00DD069E"/>
    <w:rsid w:val="00DD3B40"/>
    <w:rsid w:val="00DD5FB8"/>
    <w:rsid w:val="00DE4321"/>
    <w:rsid w:val="00DE7DEA"/>
    <w:rsid w:val="00DF362A"/>
    <w:rsid w:val="00DF5607"/>
    <w:rsid w:val="00DF59A1"/>
    <w:rsid w:val="00E02CDD"/>
    <w:rsid w:val="00E10E50"/>
    <w:rsid w:val="00E1388B"/>
    <w:rsid w:val="00E14457"/>
    <w:rsid w:val="00E41DC6"/>
    <w:rsid w:val="00E46DAE"/>
    <w:rsid w:val="00E51D95"/>
    <w:rsid w:val="00E60CD2"/>
    <w:rsid w:val="00E63096"/>
    <w:rsid w:val="00E63A45"/>
    <w:rsid w:val="00E6693C"/>
    <w:rsid w:val="00E67C36"/>
    <w:rsid w:val="00E715E0"/>
    <w:rsid w:val="00E72403"/>
    <w:rsid w:val="00E76E21"/>
    <w:rsid w:val="00E9377C"/>
    <w:rsid w:val="00EC43F2"/>
    <w:rsid w:val="00EF28E9"/>
    <w:rsid w:val="00F0114E"/>
    <w:rsid w:val="00F04668"/>
    <w:rsid w:val="00F10596"/>
    <w:rsid w:val="00F10B25"/>
    <w:rsid w:val="00F12243"/>
    <w:rsid w:val="00F15FE4"/>
    <w:rsid w:val="00F161FD"/>
    <w:rsid w:val="00F30F75"/>
    <w:rsid w:val="00F41507"/>
    <w:rsid w:val="00F420D8"/>
    <w:rsid w:val="00F45176"/>
    <w:rsid w:val="00F577C9"/>
    <w:rsid w:val="00F63552"/>
    <w:rsid w:val="00F63E2E"/>
    <w:rsid w:val="00F657A8"/>
    <w:rsid w:val="00F70DBB"/>
    <w:rsid w:val="00F8118D"/>
    <w:rsid w:val="00FA175B"/>
    <w:rsid w:val="00FA1A0B"/>
    <w:rsid w:val="00FC115B"/>
    <w:rsid w:val="00FD1507"/>
    <w:rsid w:val="00FD6702"/>
    <w:rsid w:val="00FE3B0C"/>
    <w:rsid w:val="00FE670E"/>
    <w:rsid w:val="00FF1DCB"/>
    <w:rsid w:val="00FF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092A"/>
  <w15:docId w15:val="{CCF7836C-26F9-B241-85A5-547A7FD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1D"/>
    <w:pPr>
      <w:spacing w:line="240" w:lineRule="auto"/>
    </w:pPr>
    <w:rPr>
      <w:rFonts w:eastAsia="Times New Roman" w:cs="Times New Roman"/>
      <w:szCs w:val="24"/>
      <w:lang w:val="en-US"/>
    </w:rPr>
  </w:style>
  <w:style w:type="paragraph" w:styleId="Heading1">
    <w:name w:val="heading 1"/>
    <w:basedOn w:val="Normal"/>
    <w:next w:val="Normal"/>
    <w:link w:val="Heading1Char"/>
    <w:uiPriority w:val="9"/>
    <w:qFormat/>
    <w:pPr>
      <w:keepNext/>
      <w:keepLines/>
      <w:numPr>
        <w:numId w:val="7"/>
      </w:numPr>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numPr>
        <w:ilvl w:val="1"/>
        <w:numId w:val="7"/>
      </w:numPr>
      <w:spacing w:before="360" w:after="120"/>
      <w:outlineLvl w:val="1"/>
    </w:pPr>
    <w:rPr>
      <w:sz w:val="32"/>
      <w:szCs w:val="32"/>
    </w:rPr>
  </w:style>
  <w:style w:type="paragraph" w:styleId="Heading3">
    <w:name w:val="heading 3"/>
    <w:basedOn w:val="Normal"/>
    <w:next w:val="Normal"/>
    <w:uiPriority w:val="9"/>
    <w:unhideWhenUsed/>
    <w:qFormat/>
    <w:pPr>
      <w:keepNext/>
      <w:keepLines/>
      <w:numPr>
        <w:ilvl w:val="2"/>
        <w:numId w:val="7"/>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7"/>
      </w:numPr>
      <w:spacing w:before="280" w:after="80"/>
      <w:outlineLvl w:val="3"/>
    </w:pPr>
    <w:rPr>
      <w:color w:val="666666"/>
      <w:sz w:val="24"/>
    </w:rPr>
  </w:style>
  <w:style w:type="paragraph" w:styleId="Heading5">
    <w:name w:val="heading 5"/>
    <w:basedOn w:val="Normal"/>
    <w:next w:val="Normal"/>
    <w:uiPriority w:val="9"/>
    <w:semiHidden/>
    <w:unhideWhenUsed/>
    <w:qFormat/>
    <w:pPr>
      <w:keepNext/>
      <w:keepLines/>
      <w:numPr>
        <w:ilvl w:val="4"/>
        <w:numId w:val="7"/>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7"/>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D07F2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F2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F2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E5B0B"/>
    <w:pPr>
      <w:tabs>
        <w:tab w:val="center" w:pos="4680"/>
        <w:tab w:val="right" w:pos="9360"/>
      </w:tabs>
    </w:pPr>
  </w:style>
  <w:style w:type="character" w:customStyle="1" w:styleId="HeaderChar">
    <w:name w:val="Header Char"/>
    <w:basedOn w:val="DefaultParagraphFont"/>
    <w:link w:val="Header"/>
    <w:uiPriority w:val="99"/>
    <w:rsid w:val="00BE5B0B"/>
  </w:style>
  <w:style w:type="paragraph" w:styleId="Footer">
    <w:name w:val="footer"/>
    <w:basedOn w:val="Normal"/>
    <w:link w:val="FooterChar"/>
    <w:uiPriority w:val="99"/>
    <w:unhideWhenUsed/>
    <w:rsid w:val="00BE5B0B"/>
    <w:pPr>
      <w:tabs>
        <w:tab w:val="center" w:pos="4680"/>
        <w:tab w:val="right" w:pos="9360"/>
      </w:tabs>
    </w:pPr>
  </w:style>
  <w:style w:type="character" w:customStyle="1" w:styleId="FooterChar">
    <w:name w:val="Footer Char"/>
    <w:basedOn w:val="DefaultParagraphFont"/>
    <w:link w:val="Footer"/>
    <w:uiPriority w:val="99"/>
    <w:rsid w:val="00BE5B0B"/>
  </w:style>
  <w:style w:type="character" w:styleId="Hyperlink">
    <w:name w:val="Hyperlink"/>
    <w:basedOn w:val="DefaultParagraphFont"/>
    <w:uiPriority w:val="99"/>
    <w:unhideWhenUsed/>
    <w:rsid w:val="001D248B"/>
    <w:rPr>
      <w:color w:val="0000FF" w:themeColor="hyperlink"/>
      <w:u w:val="single"/>
    </w:rPr>
  </w:style>
  <w:style w:type="character" w:styleId="UnresolvedMention">
    <w:name w:val="Unresolved Mention"/>
    <w:basedOn w:val="DefaultParagraphFont"/>
    <w:uiPriority w:val="99"/>
    <w:semiHidden/>
    <w:unhideWhenUsed/>
    <w:rsid w:val="001D24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248B"/>
    <w:rPr>
      <w:b/>
      <w:bCs/>
    </w:rPr>
  </w:style>
  <w:style w:type="character" w:customStyle="1" w:styleId="CommentSubjectChar">
    <w:name w:val="Comment Subject Char"/>
    <w:basedOn w:val="CommentTextChar"/>
    <w:link w:val="CommentSubject"/>
    <w:uiPriority w:val="99"/>
    <w:semiHidden/>
    <w:rsid w:val="001D248B"/>
    <w:rPr>
      <w:b/>
      <w:bCs/>
      <w:sz w:val="20"/>
      <w:szCs w:val="20"/>
    </w:rPr>
  </w:style>
  <w:style w:type="paragraph" w:styleId="FootnoteText">
    <w:name w:val="footnote text"/>
    <w:basedOn w:val="Normal"/>
    <w:link w:val="FootnoteTextChar"/>
    <w:uiPriority w:val="99"/>
    <w:unhideWhenUsed/>
    <w:qFormat/>
    <w:rsid w:val="00C64B4C"/>
    <w:rPr>
      <w:sz w:val="18"/>
      <w:szCs w:val="20"/>
    </w:rPr>
  </w:style>
  <w:style w:type="character" w:customStyle="1" w:styleId="FootnoteTextChar">
    <w:name w:val="Footnote Text Char"/>
    <w:basedOn w:val="DefaultParagraphFont"/>
    <w:link w:val="FootnoteText"/>
    <w:uiPriority w:val="99"/>
    <w:rsid w:val="00C64B4C"/>
    <w:rPr>
      <w:sz w:val="18"/>
      <w:szCs w:val="20"/>
    </w:rPr>
  </w:style>
  <w:style w:type="character" w:styleId="FootnoteReference">
    <w:name w:val="footnote reference"/>
    <w:basedOn w:val="DefaultParagraphFont"/>
    <w:uiPriority w:val="99"/>
    <w:unhideWhenUsed/>
    <w:rsid w:val="00516D36"/>
    <w:rPr>
      <w:sz w:val="18"/>
      <w:szCs w:val="18"/>
      <w:vertAlign w:val="superscript"/>
    </w:rPr>
  </w:style>
  <w:style w:type="character" w:styleId="PageNumber">
    <w:name w:val="page number"/>
    <w:basedOn w:val="DefaultParagraphFont"/>
    <w:uiPriority w:val="99"/>
    <w:semiHidden/>
    <w:unhideWhenUsed/>
    <w:rsid w:val="00C52CDF"/>
  </w:style>
  <w:style w:type="paragraph" w:styleId="TOC1">
    <w:name w:val="toc 1"/>
    <w:basedOn w:val="Normal"/>
    <w:next w:val="Normal"/>
    <w:autoRedefine/>
    <w:uiPriority w:val="39"/>
    <w:unhideWhenUsed/>
    <w:rsid w:val="004F61DD"/>
    <w:pPr>
      <w:spacing w:before="120"/>
    </w:pPr>
    <w:rPr>
      <w:rFonts w:asciiTheme="minorHAnsi" w:hAnsiTheme="minorHAnsi"/>
      <w:b/>
      <w:bCs/>
      <w:i/>
      <w:iCs/>
      <w:sz w:val="24"/>
    </w:rPr>
  </w:style>
  <w:style w:type="character" w:customStyle="1" w:styleId="Heading7Char">
    <w:name w:val="Heading 7 Char"/>
    <w:basedOn w:val="DefaultParagraphFont"/>
    <w:link w:val="Heading7"/>
    <w:uiPriority w:val="9"/>
    <w:semiHidden/>
    <w:rsid w:val="00D07F2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07F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F29"/>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07F29"/>
    <w:pPr>
      <w:spacing w:before="120"/>
      <w:ind w:left="220"/>
    </w:pPr>
    <w:rPr>
      <w:rFonts w:asciiTheme="minorHAnsi" w:hAnsiTheme="minorHAnsi"/>
      <w:b/>
      <w:bCs/>
      <w:szCs w:val="22"/>
    </w:rPr>
  </w:style>
  <w:style w:type="paragraph" w:styleId="TOC3">
    <w:name w:val="toc 3"/>
    <w:basedOn w:val="Normal"/>
    <w:next w:val="Normal"/>
    <w:autoRedefine/>
    <w:uiPriority w:val="39"/>
    <w:unhideWhenUsed/>
    <w:rsid w:val="00D07F29"/>
    <w:pPr>
      <w:ind w:left="440"/>
    </w:pPr>
    <w:rPr>
      <w:rFonts w:asciiTheme="minorHAnsi" w:hAnsiTheme="minorHAnsi"/>
      <w:sz w:val="20"/>
      <w:szCs w:val="20"/>
    </w:rPr>
  </w:style>
  <w:style w:type="paragraph" w:styleId="TOC4">
    <w:name w:val="toc 4"/>
    <w:basedOn w:val="Normal"/>
    <w:next w:val="Normal"/>
    <w:autoRedefine/>
    <w:uiPriority w:val="39"/>
    <w:unhideWhenUsed/>
    <w:rsid w:val="00D07F29"/>
    <w:pPr>
      <w:ind w:left="660"/>
    </w:pPr>
    <w:rPr>
      <w:rFonts w:asciiTheme="minorHAnsi" w:hAnsiTheme="minorHAnsi"/>
      <w:sz w:val="20"/>
      <w:szCs w:val="20"/>
    </w:rPr>
  </w:style>
  <w:style w:type="paragraph" w:styleId="ListParagraph">
    <w:name w:val="List Paragraph"/>
    <w:basedOn w:val="Normal"/>
    <w:uiPriority w:val="34"/>
    <w:qFormat/>
    <w:rsid w:val="00B069E7"/>
    <w:pPr>
      <w:ind w:left="720"/>
      <w:contextualSpacing/>
    </w:pPr>
  </w:style>
  <w:style w:type="character" w:customStyle="1" w:styleId="highlight">
    <w:name w:val="highlight"/>
    <w:basedOn w:val="DefaultParagraphFont"/>
    <w:rsid w:val="004F7726"/>
  </w:style>
  <w:style w:type="paragraph" w:styleId="Quote">
    <w:name w:val="Quote"/>
    <w:basedOn w:val="Normal"/>
    <w:next w:val="Normal"/>
    <w:link w:val="QuoteChar"/>
    <w:uiPriority w:val="29"/>
    <w:qFormat/>
    <w:rsid w:val="004F77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7726"/>
    <w:rPr>
      <w:i/>
      <w:iCs/>
      <w:color w:val="404040" w:themeColor="text1" w:themeTint="BF"/>
    </w:rPr>
  </w:style>
  <w:style w:type="paragraph" w:styleId="TOCHeading">
    <w:name w:val="TOC Heading"/>
    <w:basedOn w:val="Heading1"/>
    <w:next w:val="Normal"/>
    <w:uiPriority w:val="39"/>
    <w:unhideWhenUsed/>
    <w:qFormat/>
    <w:rsid w:val="002D2951"/>
    <w:pPr>
      <w:numPr>
        <w:numId w:val="0"/>
      </w:num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TOC5">
    <w:name w:val="toc 5"/>
    <w:basedOn w:val="Normal"/>
    <w:next w:val="Normal"/>
    <w:autoRedefine/>
    <w:uiPriority w:val="39"/>
    <w:semiHidden/>
    <w:unhideWhenUsed/>
    <w:rsid w:val="002D2951"/>
    <w:pPr>
      <w:ind w:left="880"/>
    </w:pPr>
    <w:rPr>
      <w:rFonts w:asciiTheme="minorHAnsi" w:hAnsiTheme="minorHAnsi"/>
      <w:sz w:val="20"/>
      <w:szCs w:val="20"/>
    </w:rPr>
  </w:style>
  <w:style w:type="paragraph" w:styleId="TOC6">
    <w:name w:val="toc 6"/>
    <w:basedOn w:val="Normal"/>
    <w:next w:val="Normal"/>
    <w:autoRedefine/>
    <w:uiPriority w:val="39"/>
    <w:semiHidden/>
    <w:unhideWhenUsed/>
    <w:rsid w:val="002D2951"/>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2D2951"/>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2D2951"/>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2D2951"/>
    <w:pPr>
      <w:ind w:left="1760"/>
    </w:pPr>
    <w:rPr>
      <w:rFonts w:asciiTheme="minorHAnsi" w:hAnsiTheme="minorHAnsi"/>
      <w:sz w:val="20"/>
      <w:szCs w:val="20"/>
    </w:rPr>
  </w:style>
  <w:style w:type="paragraph" w:styleId="Caption">
    <w:name w:val="caption"/>
    <w:basedOn w:val="Normal"/>
    <w:next w:val="Normal"/>
    <w:uiPriority w:val="35"/>
    <w:unhideWhenUsed/>
    <w:qFormat/>
    <w:rsid w:val="00DD3B40"/>
    <w:pPr>
      <w:spacing w:after="200"/>
    </w:pPr>
    <w:rPr>
      <w:i/>
      <w:iCs/>
      <w:color w:val="1F497D" w:themeColor="text2"/>
      <w:sz w:val="18"/>
      <w:szCs w:val="18"/>
    </w:rPr>
  </w:style>
  <w:style w:type="paragraph" w:styleId="NormalWeb">
    <w:name w:val="Normal (Web)"/>
    <w:basedOn w:val="Normal"/>
    <w:uiPriority w:val="99"/>
    <w:semiHidden/>
    <w:unhideWhenUsed/>
    <w:rsid w:val="005A27CD"/>
    <w:rPr>
      <w:rFonts w:ascii="Times New Roman" w:hAnsi="Times New Roman"/>
      <w:sz w:val="24"/>
    </w:rPr>
  </w:style>
  <w:style w:type="character" w:styleId="FollowedHyperlink">
    <w:name w:val="FollowedHyperlink"/>
    <w:basedOn w:val="DefaultParagraphFont"/>
    <w:uiPriority w:val="99"/>
    <w:semiHidden/>
    <w:unhideWhenUsed/>
    <w:rsid w:val="0079257E"/>
    <w:rPr>
      <w:color w:val="800080" w:themeColor="followedHyperlink"/>
      <w:u w:val="single"/>
    </w:rPr>
  </w:style>
  <w:style w:type="paragraph" w:styleId="HTMLPreformatted">
    <w:name w:val="HTML Preformatted"/>
    <w:basedOn w:val="Normal"/>
    <w:link w:val="HTMLPreformattedChar"/>
    <w:uiPriority w:val="99"/>
    <w:semiHidden/>
    <w:unhideWhenUsed/>
    <w:rsid w:val="00B2077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0777"/>
    <w:rPr>
      <w:rFonts w:ascii="Consolas" w:hAnsi="Consolas"/>
      <w:sz w:val="20"/>
      <w:szCs w:val="20"/>
    </w:rPr>
  </w:style>
  <w:style w:type="character" w:styleId="LineNumber">
    <w:name w:val="line number"/>
    <w:basedOn w:val="DefaultParagraphFont"/>
    <w:uiPriority w:val="99"/>
    <w:semiHidden/>
    <w:unhideWhenUsed/>
    <w:rsid w:val="007A3B07"/>
  </w:style>
  <w:style w:type="table" w:styleId="TableGrid">
    <w:name w:val="Table Grid"/>
    <w:basedOn w:val="TableNormal"/>
    <w:uiPriority w:val="39"/>
    <w:rsid w:val="00241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35B2"/>
    <w:pPr>
      <w:spacing w:line="240" w:lineRule="auto"/>
    </w:pPr>
  </w:style>
  <w:style w:type="character" w:customStyle="1" w:styleId="Heading1Char">
    <w:name w:val="Heading 1 Char"/>
    <w:basedOn w:val="DefaultParagraphFont"/>
    <w:link w:val="Heading1"/>
    <w:uiPriority w:val="9"/>
    <w:rsid w:val="000778E6"/>
    <w:rPr>
      <w:sz w:val="40"/>
      <w:szCs w:val="40"/>
    </w:rPr>
  </w:style>
  <w:style w:type="character" w:customStyle="1" w:styleId="Heading2Char">
    <w:name w:val="Heading 2 Char"/>
    <w:basedOn w:val="DefaultParagraphFont"/>
    <w:link w:val="Heading2"/>
    <w:uiPriority w:val="9"/>
    <w:rsid w:val="003E61A7"/>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85">
      <w:bodyDiv w:val="1"/>
      <w:marLeft w:val="0"/>
      <w:marRight w:val="0"/>
      <w:marTop w:val="0"/>
      <w:marBottom w:val="0"/>
      <w:divBdr>
        <w:top w:val="none" w:sz="0" w:space="0" w:color="auto"/>
        <w:left w:val="none" w:sz="0" w:space="0" w:color="auto"/>
        <w:bottom w:val="none" w:sz="0" w:space="0" w:color="auto"/>
        <w:right w:val="none" w:sz="0" w:space="0" w:color="auto"/>
      </w:divBdr>
      <w:divsChild>
        <w:div w:id="1004473558">
          <w:marLeft w:val="0"/>
          <w:marRight w:val="0"/>
          <w:marTop w:val="0"/>
          <w:marBottom w:val="0"/>
          <w:divBdr>
            <w:top w:val="none" w:sz="0" w:space="0" w:color="auto"/>
            <w:left w:val="none" w:sz="0" w:space="0" w:color="auto"/>
            <w:bottom w:val="none" w:sz="0" w:space="0" w:color="auto"/>
            <w:right w:val="none" w:sz="0" w:space="0" w:color="auto"/>
          </w:divBdr>
        </w:div>
      </w:divsChild>
    </w:div>
    <w:div w:id="38164842">
      <w:bodyDiv w:val="1"/>
      <w:marLeft w:val="0"/>
      <w:marRight w:val="0"/>
      <w:marTop w:val="0"/>
      <w:marBottom w:val="0"/>
      <w:divBdr>
        <w:top w:val="none" w:sz="0" w:space="0" w:color="auto"/>
        <w:left w:val="none" w:sz="0" w:space="0" w:color="auto"/>
        <w:bottom w:val="none" w:sz="0" w:space="0" w:color="auto"/>
        <w:right w:val="none" w:sz="0" w:space="0" w:color="auto"/>
      </w:divBdr>
    </w:div>
    <w:div w:id="76438821">
      <w:bodyDiv w:val="1"/>
      <w:marLeft w:val="0"/>
      <w:marRight w:val="0"/>
      <w:marTop w:val="0"/>
      <w:marBottom w:val="0"/>
      <w:divBdr>
        <w:top w:val="none" w:sz="0" w:space="0" w:color="auto"/>
        <w:left w:val="none" w:sz="0" w:space="0" w:color="auto"/>
        <w:bottom w:val="none" w:sz="0" w:space="0" w:color="auto"/>
        <w:right w:val="none" w:sz="0" w:space="0" w:color="auto"/>
      </w:divBdr>
      <w:divsChild>
        <w:div w:id="240871488">
          <w:marLeft w:val="0"/>
          <w:marRight w:val="0"/>
          <w:marTop w:val="0"/>
          <w:marBottom w:val="0"/>
          <w:divBdr>
            <w:top w:val="none" w:sz="0" w:space="0" w:color="auto"/>
            <w:left w:val="none" w:sz="0" w:space="0" w:color="auto"/>
            <w:bottom w:val="none" w:sz="0" w:space="0" w:color="auto"/>
            <w:right w:val="none" w:sz="0" w:space="0" w:color="auto"/>
          </w:divBdr>
        </w:div>
      </w:divsChild>
    </w:div>
    <w:div w:id="79103751">
      <w:bodyDiv w:val="1"/>
      <w:marLeft w:val="0"/>
      <w:marRight w:val="0"/>
      <w:marTop w:val="0"/>
      <w:marBottom w:val="0"/>
      <w:divBdr>
        <w:top w:val="none" w:sz="0" w:space="0" w:color="auto"/>
        <w:left w:val="none" w:sz="0" w:space="0" w:color="auto"/>
        <w:bottom w:val="none" w:sz="0" w:space="0" w:color="auto"/>
        <w:right w:val="none" w:sz="0" w:space="0" w:color="auto"/>
      </w:divBdr>
      <w:divsChild>
        <w:div w:id="1548566149">
          <w:marLeft w:val="0"/>
          <w:marRight w:val="0"/>
          <w:marTop w:val="0"/>
          <w:marBottom w:val="0"/>
          <w:divBdr>
            <w:top w:val="none" w:sz="0" w:space="0" w:color="auto"/>
            <w:left w:val="none" w:sz="0" w:space="0" w:color="auto"/>
            <w:bottom w:val="none" w:sz="0" w:space="0" w:color="auto"/>
            <w:right w:val="none" w:sz="0" w:space="0" w:color="auto"/>
          </w:divBdr>
        </w:div>
      </w:divsChild>
    </w:div>
    <w:div w:id="82654736">
      <w:bodyDiv w:val="1"/>
      <w:marLeft w:val="0"/>
      <w:marRight w:val="0"/>
      <w:marTop w:val="0"/>
      <w:marBottom w:val="0"/>
      <w:divBdr>
        <w:top w:val="none" w:sz="0" w:space="0" w:color="auto"/>
        <w:left w:val="none" w:sz="0" w:space="0" w:color="auto"/>
        <w:bottom w:val="none" w:sz="0" w:space="0" w:color="auto"/>
        <w:right w:val="none" w:sz="0" w:space="0" w:color="auto"/>
      </w:divBdr>
    </w:div>
    <w:div w:id="115756748">
      <w:bodyDiv w:val="1"/>
      <w:marLeft w:val="0"/>
      <w:marRight w:val="0"/>
      <w:marTop w:val="0"/>
      <w:marBottom w:val="0"/>
      <w:divBdr>
        <w:top w:val="none" w:sz="0" w:space="0" w:color="auto"/>
        <w:left w:val="none" w:sz="0" w:space="0" w:color="auto"/>
        <w:bottom w:val="none" w:sz="0" w:space="0" w:color="auto"/>
        <w:right w:val="none" w:sz="0" w:space="0" w:color="auto"/>
      </w:divBdr>
    </w:div>
    <w:div w:id="128017879">
      <w:bodyDiv w:val="1"/>
      <w:marLeft w:val="0"/>
      <w:marRight w:val="0"/>
      <w:marTop w:val="0"/>
      <w:marBottom w:val="0"/>
      <w:divBdr>
        <w:top w:val="none" w:sz="0" w:space="0" w:color="auto"/>
        <w:left w:val="none" w:sz="0" w:space="0" w:color="auto"/>
        <w:bottom w:val="none" w:sz="0" w:space="0" w:color="auto"/>
        <w:right w:val="none" w:sz="0" w:space="0" w:color="auto"/>
      </w:divBdr>
      <w:divsChild>
        <w:div w:id="1426149715">
          <w:marLeft w:val="0"/>
          <w:marRight w:val="0"/>
          <w:marTop w:val="0"/>
          <w:marBottom w:val="0"/>
          <w:divBdr>
            <w:top w:val="none" w:sz="0" w:space="0" w:color="auto"/>
            <w:left w:val="none" w:sz="0" w:space="0" w:color="auto"/>
            <w:bottom w:val="none" w:sz="0" w:space="0" w:color="auto"/>
            <w:right w:val="none" w:sz="0" w:space="0" w:color="auto"/>
          </w:divBdr>
        </w:div>
      </w:divsChild>
    </w:div>
    <w:div w:id="137189145">
      <w:bodyDiv w:val="1"/>
      <w:marLeft w:val="0"/>
      <w:marRight w:val="0"/>
      <w:marTop w:val="0"/>
      <w:marBottom w:val="0"/>
      <w:divBdr>
        <w:top w:val="none" w:sz="0" w:space="0" w:color="auto"/>
        <w:left w:val="none" w:sz="0" w:space="0" w:color="auto"/>
        <w:bottom w:val="none" w:sz="0" w:space="0" w:color="auto"/>
        <w:right w:val="none" w:sz="0" w:space="0" w:color="auto"/>
      </w:divBdr>
      <w:divsChild>
        <w:div w:id="319845364">
          <w:marLeft w:val="0"/>
          <w:marRight w:val="0"/>
          <w:marTop w:val="0"/>
          <w:marBottom w:val="0"/>
          <w:divBdr>
            <w:top w:val="none" w:sz="0" w:space="0" w:color="auto"/>
            <w:left w:val="none" w:sz="0" w:space="0" w:color="auto"/>
            <w:bottom w:val="none" w:sz="0" w:space="0" w:color="auto"/>
            <w:right w:val="none" w:sz="0" w:space="0" w:color="auto"/>
          </w:divBdr>
        </w:div>
      </w:divsChild>
    </w:div>
    <w:div w:id="146092530">
      <w:bodyDiv w:val="1"/>
      <w:marLeft w:val="0"/>
      <w:marRight w:val="0"/>
      <w:marTop w:val="0"/>
      <w:marBottom w:val="0"/>
      <w:divBdr>
        <w:top w:val="none" w:sz="0" w:space="0" w:color="auto"/>
        <w:left w:val="none" w:sz="0" w:space="0" w:color="auto"/>
        <w:bottom w:val="none" w:sz="0" w:space="0" w:color="auto"/>
        <w:right w:val="none" w:sz="0" w:space="0" w:color="auto"/>
      </w:divBdr>
      <w:divsChild>
        <w:div w:id="2126608613">
          <w:marLeft w:val="0"/>
          <w:marRight w:val="0"/>
          <w:marTop w:val="0"/>
          <w:marBottom w:val="0"/>
          <w:divBdr>
            <w:top w:val="none" w:sz="0" w:space="0" w:color="auto"/>
            <w:left w:val="none" w:sz="0" w:space="0" w:color="auto"/>
            <w:bottom w:val="none" w:sz="0" w:space="0" w:color="auto"/>
            <w:right w:val="none" w:sz="0" w:space="0" w:color="auto"/>
          </w:divBdr>
        </w:div>
      </w:divsChild>
    </w:div>
    <w:div w:id="158814551">
      <w:bodyDiv w:val="1"/>
      <w:marLeft w:val="0"/>
      <w:marRight w:val="0"/>
      <w:marTop w:val="0"/>
      <w:marBottom w:val="0"/>
      <w:divBdr>
        <w:top w:val="none" w:sz="0" w:space="0" w:color="auto"/>
        <w:left w:val="none" w:sz="0" w:space="0" w:color="auto"/>
        <w:bottom w:val="none" w:sz="0" w:space="0" w:color="auto"/>
        <w:right w:val="none" w:sz="0" w:space="0" w:color="auto"/>
      </w:divBdr>
    </w:div>
    <w:div w:id="181867439">
      <w:bodyDiv w:val="1"/>
      <w:marLeft w:val="0"/>
      <w:marRight w:val="0"/>
      <w:marTop w:val="0"/>
      <w:marBottom w:val="0"/>
      <w:divBdr>
        <w:top w:val="none" w:sz="0" w:space="0" w:color="auto"/>
        <w:left w:val="none" w:sz="0" w:space="0" w:color="auto"/>
        <w:bottom w:val="none" w:sz="0" w:space="0" w:color="auto"/>
        <w:right w:val="none" w:sz="0" w:space="0" w:color="auto"/>
      </w:divBdr>
      <w:divsChild>
        <w:div w:id="532427823">
          <w:marLeft w:val="0"/>
          <w:marRight w:val="0"/>
          <w:marTop w:val="0"/>
          <w:marBottom w:val="0"/>
          <w:divBdr>
            <w:top w:val="none" w:sz="0" w:space="0" w:color="auto"/>
            <w:left w:val="none" w:sz="0" w:space="0" w:color="auto"/>
            <w:bottom w:val="none" w:sz="0" w:space="0" w:color="auto"/>
            <w:right w:val="none" w:sz="0" w:space="0" w:color="auto"/>
          </w:divBdr>
        </w:div>
      </w:divsChild>
    </w:div>
    <w:div w:id="183791830">
      <w:bodyDiv w:val="1"/>
      <w:marLeft w:val="0"/>
      <w:marRight w:val="0"/>
      <w:marTop w:val="0"/>
      <w:marBottom w:val="0"/>
      <w:divBdr>
        <w:top w:val="none" w:sz="0" w:space="0" w:color="auto"/>
        <w:left w:val="none" w:sz="0" w:space="0" w:color="auto"/>
        <w:bottom w:val="none" w:sz="0" w:space="0" w:color="auto"/>
        <w:right w:val="none" w:sz="0" w:space="0" w:color="auto"/>
      </w:divBdr>
      <w:divsChild>
        <w:div w:id="192427132">
          <w:marLeft w:val="0"/>
          <w:marRight w:val="0"/>
          <w:marTop w:val="0"/>
          <w:marBottom w:val="0"/>
          <w:divBdr>
            <w:top w:val="none" w:sz="0" w:space="0" w:color="auto"/>
            <w:left w:val="none" w:sz="0" w:space="0" w:color="auto"/>
            <w:bottom w:val="none" w:sz="0" w:space="0" w:color="auto"/>
            <w:right w:val="none" w:sz="0" w:space="0" w:color="auto"/>
          </w:divBdr>
        </w:div>
      </w:divsChild>
    </w:div>
    <w:div w:id="190537853">
      <w:bodyDiv w:val="1"/>
      <w:marLeft w:val="0"/>
      <w:marRight w:val="0"/>
      <w:marTop w:val="0"/>
      <w:marBottom w:val="0"/>
      <w:divBdr>
        <w:top w:val="none" w:sz="0" w:space="0" w:color="auto"/>
        <w:left w:val="none" w:sz="0" w:space="0" w:color="auto"/>
        <w:bottom w:val="none" w:sz="0" w:space="0" w:color="auto"/>
        <w:right w:val="none" w:sz="0" w:space="0" w:color="auto"/>
      </w:divBdr>
      <w:divsChild>
        <w:div w:id="909080011">
          <w:marLeft w:val="0"/>
          <w:marRight w:val="0"/>
          <w:marTop w:val="0"/>
          <w:marBottom w:val="0"/>
          <w:divBdr>
            <w:top w:val="none" w:sz="0" w:space="0" w:color="auto"/>
            <w:left w:val="none" w:sz="0" w:space="0" w:color="auto"/>
            <w:bottom w:val="none" w:sz="0" w:space="0" w:color="auto"/>
            <w:right w:val="none" w:sz="0" w:space="0" w:color="auto"/>
          </w:divBdr>
        </w:div>
      </w:divsChild>
    </w:div>
    <w:div w:id="191383634">
      <w:bodyDiv w:val="1"/>
      <w:marLeft w:val="0"/>
      <w:marRight w:val="0"/>
      <w:marTop w:val="0"/>
      <w:marBottom w:val="0"/>
      <w:divBdr>
        <w:top w:val="none" w:sz="0" w:space="0" w:color="auto"/>
        <w:left w:val="none" w:sz="0" w:space="0" w:color="auto"/>
        <w:bottom w:val="none" w:sz="0" w:space="0" w:color="auto"/>
        <w:right w:val="none" w:sz="0" w:space="0" w:color="auto"/>
      </w:divBdr>
      <w:divsChild>
        <w:div w:id="186603767">
          <w:marLeft w:val="0"/>
          <w:marRight w:val="0"/>
          <w:marTop w:val="0"/>
          <w:marBottom w:val="0"/>
          <w:divBdr>
            <w:top w:val="none" w:sz="0" w:space="0" w:color="auto"/>
            <w:left w:val="none" w:sz="0" w:space="0" w:color="auto"/>
            <w:bottom w:val="none" w:sz="0" w:space="0" w:color="auto"/>
            <w:right w:val="none" w:sz="0" w:space="0" w:color="auto"/>
          </w:divBdr>
        </w:div>
      </w:divsChild>
    </w:div>
    <w:div w:id="194730478">
      <w:bodyDiv w:val="1"/>
      <w:marLeft w:val="0"/>
      <w:marRight w:val="0"/>
      <w:marTop w:val="0"/>
      <w:marBottom w:val="0"/>
      <w:divBdr>
        <w:top w:val="none" w:sz="0" w:space="0" w:color="auto"/>
        <w:left w:val="none" w:sz="0" w:space="0" w:color="auto"/>
        <w:bottom w:val="none" w:sz="0" w:space="0" w:color="auto"/>
        <w:right w:val="none" w:sz="0" w:space="0" w:color="auto"/>
      </w:divBdr>
      <w:divsChild>
        <w:div w:id="1459254621">
          <w:marLeft w:val="0"/>
          <w:marRight w:val="0"/>
          <w:marTop w:val="0"/>
          <w:marBottom w:val="0"/>
          <w:divBdr>
            <w:top w:val="none" w:sz="0" w:space="0" w:color="auto"/>
            <w:left w:val="none" w:sz="0" w:space="0" w:color="auto"/>
            <w:bottom w:val="none" w:sz="0" w:space="0" w:color="auto"/>
            <w:right w:val="none" w:sz="0" w:space="0" w:color="auto"/>
          </w:divBdr>
        </w:div>
      </w:divsChild>
    </w:div>
    <w:div w:id="206067676">
      <w:bodyDiv w:val="1"/>
      <w:marLeft w:val="0"/>
      <w:marRight w:val="0"/>
      <w:marTop w:val="0"/>
      <w:marBottom w:val="0"/>
      <w:divBdr>
        <w:top w:val="none" w:sz="0" w:space="0" w:color="auto"/>
        <w:left w:val="none" w:sz="0" w:space="0" w:color="auto"/>
        <w:bottom w:val="none" w:sz="0" w:space="0" w:color="auto"/>
        <w:right w:val="none" w:sz="0" w:space="0" w:color="auto"/>
      </w:divBdr>
      <w:divsChild>
        <w:div w:id="2133789660">
          <w:marLeft w:val="0"/>
          <w:marRight w:val="0"/>
          <w:marTop w:val="0"/>
          <w:marBottom w:val="0"/>
          <w:divBdr>
            <w:top w:val="none" w:sz="0" w:space="0" w:color="auto"/>
            <w:left w:val="none" w:sz="0" w:space="0" w:color="auto"/>
            <w:bottom w:val="none" w:sz="0" w:space="0" w:color="auto"/>
            <w:right w:val="none" w:sz="0" w:space="0" w:color="auto"/>
          </w:divBdr>
        </w:div>
      </w:divsChild>
    </w:div>
    <w:div w:id="225456476">
      <w:bodyDiv w:val="1"/>
      <w:marLeft w:val="0"/>
      <w:marRight w:val="0"/>
      <w:marTop w:val="0"/>
      <w:marBottom w:val="0"/>
      <w:divBdr>
        <w:top w:val="none" w:sz="0" w:space="0" w:color="auto"/>
        <w:left w:val="none" w:sz="0" w:space="0" w:color="auto"/>
        <w:bottom w:val="none" w:sz="0" w:space="0" w:color="auto"/>
        <w:right w:val="none" w:sz="0" w:space="0" w:color="auto"/>
      </w:divBdr>
    </w:div>
    <w:div w:id="244071021">
      <w:bodyDiv w:val="1"/>
      <w:marLeft w:val="0"/>
      <w:marRight w:val="0"/>
      <w:marTop w:val="0"/>
      <w:marBottom w:val="0"/>
      <w:divBdr>
        <w:top w:val="none" w:sz="0" w:space="0" w:color="auto"/>
        <w:left w:val="none" w:sz="0" w:space="0" w:color="auto"/>
        <w:bottom w:val="none" w:sz="0" w:space="0" w:color="auto"/>
        <w:right w:val="none" w:sz="0" w:space="0" w:color="auto"/>
      </w:divBdr>
      <w:divsChild>
        <w:div w:id="1910847028">
          <w:marLeft w:val="0"/>
          <w:marRight w:val="0"/>
          <w:marTop w:val="0"/>
          <w:marBottom w:val="0"/>
          <w:divBdr>
            <w:top w:val="none" w:sz="0" w:space="0" w:color="auto"/>
            <w:left w:val="none" w:sz="0" w:space="0" w:color="auto"/>
            <w:bottom w:val="none" w:sz="0" w:space="0" w:color="auto"/>
            <w:right w:val="none" w:sz="0" w:space="0" w:color="auto"/>
          </w:divBdr>
        </w:div>
      </w:divsChild>
    </w:div>
    <w:div w:id="259458096">
      <w:bodyDiv w:val="1"/>
      <w:marLeft w:val="0"/>
      <w:marRight w:val="0"/>
      <w:marTop w:val="0"/>
      <w:marBottom w:val="0"/>
      <w:divBdr>
        <w:top w:val="none" w:sz="0" w:space="0" w:color="auto"/>
        <w:left w:val="none" w:sz="0" w:space="0" w:color="auto"/>
        <w:bottom w:val="none" w:sz="0" w:space="0" w:color="auto"/>
        <w:right w:val="none" w:sz="0" w:space="0" w:color="auto"/>
      </w:divBdr>
    </w:div>
    <w:div w:id="261769867">
      <w:bodyDiv w:val="1"/>
      <w:marLeft w:val="0"/>
      <w:marRight w:val="0"/>
      <w:marTop w:val="0"/>
      <w:marBottom w:val="0"/>
      <w:divBdr>
        <w:top w:val="none" w:sz="0" w:space="0" w:color="auto"/>
        <w:left w:val="none" w:sz="0" w:space="0" w:color="auto"/>
        <w:bottom w:val="none" w:sz="0" w:space="0" w:color="auto"/>
        <w:right w:val="none" w:sz="0" w:space="0" w:color="auto"/>
      </w:divBdr>
      <w:divsChild>
        <w:div w:id="947197390">
          <w:marLeft w:val="0"/>
          <w:marRight w:val="0"/>
          <w:marTop w:val="0"/>
          <w:marBottom w:val="0"/>
          <w:divBdr>
            <w:top w:val="none" w:sz="0" w:space="0" w:color="auto"/>
            <w:left w:val="none" w:sz="0" w:space="0" w:color="auto"/>
            <w:bottom w:val="none" w:sz="0" w:space="0" w:color="auto"/>
            <w:right w:val="none" w:sz="0" w:space="0" w:color="auto"/>
          </w:divBdr>
        </w:div>
      </w:divsChild>
    </w:div>
    <w:div w:id="271059029">
      <w:bodyDiv w:val="1"/>
      <w:marLeft w:val="0"/>
      <w:marRight w:val="0"/>
      <w:marTop w:val="0"/>
      <w:marBottom w:val="0"/>
      <w:divBdr>
        <w:top w:val="none" w:sz="0" w:space="0" w:color="auto"/>
        <w:left w:val="none" w:sz="0" w:space="0" w:color="auto"/>
        <w:bottom w:val="none" w:sz="0" w:space="0" w:color="auto"/>
        <w:right w:val="none" w:sz="0" w:space="0" w:color="auto"/>
      </w:divBdr>
      <w:divsChild>
        <w:div w:id="427821127">
          <w:marLeft w:val="0"/>
          <w:marRight w:val="0"/>
          <w:marTop w:val="0"/>
          <w:marBottom w:val="0"/>
          <w:divBdr>
            <w:top w:val="none" w:sz="0" w:space="0" w:color="auto"/>
            <w:left w:val="none" w:sz="0" w:space="0" w:color="auto"/>
            <w:bottom w:val="none" w:sz="0" w:space="0" w:color="auto"/>
            <w:right w:val="none" w:sz="0" w:space="0" w:color="auto"/>
          </w:divBdr>
        </w:div>
      </w:divsChild>
    </w:div>
    <w:div w:id="283272606">
      <w:bodyDiv w:val="1"/>
      <w:marLeft w:val="0"/>
      <w:marRight w:val="0"/>
      <w:marTop w:val="0"/>
      <w:marBottom w:val="0"/>
      <w:divBdr>
        <w:top w:val="none" w:sz="0" w:space="0" w:color="auto"/>
        <w:left w:val="none" w:sz="0" w:space="0" w:color="auto"/>
        <w:bottom w:val="none" w:sz="0" w:space="0" w:color="auto"/>
        <w:right w:val="none" w:sz="0" w:space="0" w:color="auto"/>
      </w:divBdr>
      <w:divsChild>
        <w:div w:id="239368234">
          <w:marLeft w:val="0"/>
          <w:marRight w:val="0"/>
          <w:marTop w:val="0"/>
          <w:marBottom w:val="0"/>
          <w:divBdr>
            <w:top w:val="none" w:sz="0" w:space="0" w:color="auto"/>
            <w:left w:val="none" w:sz="0" w:space="0" w:color="auto"/>
            <w:bottom w:val="none" w:sz="0" w:space="0" w:color="auto"/>
            <w:right w:val="none" w:sz="0" w:space="0" w:color="auto"/>
          </w:divBdr>
        </w:div>
      </w:divsChild>
    </w:div>
    <w:div w:id="294797798">
      <w:bodyDiv w:val="1"/>
      <w:marLeft w:val="0"/>
      <w:marRight w:val="0"/>
      <w:marTop w:val="0"/>
      <w:marBottom w:val="0"/>
      <w:divBdr>
        <w:top w:val="none" w:sz="0" w:space="0" w:color="auto"/>
        <w:left w:val="none" w:sz="0" w:space="0" w:color="auto"/>
        <w:bottom w:val="none" w:sz="0" w:space="0" w:color="auto"/>
        <w:right w:val="none" w:sz="0" w:space="0" w:color="auto"/>
      </w:divBdr>
      <w:divsChild>
        <w:div w:id="254362022">
          <w:marLeft w:val="0"/>
          <w:marRight w:val="0"/>
          <w:marTop w:val="0"/>
          <w:marBottom w:val="0"/>
          <w:divBdr>
            <w:top w:val="none" w:sz="0" w:space="0" w:color="auto"/>
            <w:left w:val="none" w:sz="0" w:space="0" w:color="auto"/>
            <w:bottom w:val="none" w:sz="0" w:space="0" w:color="auto"/>
            <w:right w:val="none" w:sz="0" w:space="0" w:color="auto"/>
          </w:divBdr>
        </w:div>
      </w:divsChild>
    </w:div>
    <w:div w:id="309293489">
      <w:bodyDiv w:val="1"/>
      <w:marLeft w:val="0"/>
      <w:marRight w:val="0"/>
      <w:marTop w:val="0"/>
      <w:marBottom w:val="0"/>
      <w:divBdr>
        <w:top w:val="none" w:sz="0" w:space="0" w:color="auto"/>
        <w:left w:val="none" w:sz="0" w:space="0" w:color="auto"/>
        <w:bottom w:val="none" w:sz="0" w:space="0" w:color="auto"/>
        <w:right w:val="none" w:sz="0" w:space="0" w:color="auto"/>
      </w:divBdr>
    </w:div>
    <w:div w:id="328598535">
      <w:bodyDiv w:val="1"/>
      <w:marLeft w:val="0"/>
      <w:marRight w:val="0"/>
      <w:marTop w:val="0"/>
      <w:marBottom w:val="0"/>
      <w:divBdr>
        <w:top w:val="none" w:sz="0" w:space="0" w:color="auto"/>
        <w:left w:val="none" w:sz="0" w:space="0" w:color="auto"/>
        <w:bottom w:val="none" w:sz="0" w:space="0" w:color="auto"/>
        <w:right w:val="none" w:sz="0" w:space="0" w:color="auto"/>
      </w:divBdr>
    </w:div>
    <w:div w:id="333185932">
      <w:bodyDiv w:val="1"/>
      <w:marLeft w:val="0"/>
      <w:marRight w:val="0"/>
      <w:marTop w:val="0"/>
      <w:marBottom w:val="0"/>
      <w:divBdr>
        <w:top w:val="none" w:sz="0" w:space="0" w:color="auto"/>
        <w:left w:val="none" w:sz="0" w:space="0" w:color="auto"/>
        <w:bottom w:val="none" w:sz="0" w:space="0" w:color="auto"/>
        <w:right w:val="none" w:sz="0" w:space="0" w:color="auto"/>
      </w:divBdr>
      <w:divsChild>
        <w:div w:id="328757096">
          <w:marLeft w:val="0"/>
          <w:marRight w:val="0"/>
          <w:marTop w:val="0"/>
          <w:marBottom w:val="0"/>
          <w:divBdr>
            <w:top w:val="none" w:sz="0" w:space="0" w:color="auto"/>
            <w:left w:val="none" w:sz="0" w:space="0" w:color="auto"/>
            <w:bottom w:val="none" w:sz="0" w:space="0" w:color="auto"/>
            <w:right w:val="none" w:sz="0" w:space="0" w:color="auto"/>
          </w:divBdr>
        </w:div>
      </w:divsChild>
    </w:div>
    <w:div w:id="336730675">
      <w:bodyDiv w:val="1"/>
      <w:marLeft w:val="0"/>
      <w:marRight w:val="0"/>
      <w:marTop w:val="0"/>
      <w:marBottom w:val="0"/>
      <w:divBdr>
        <w:top w:val="none" w:sz="0" w:space="0" w:color="auto"/>
        <w:left w:val="none" w:sz="0" w:space="0" w:color="auto"/>
        <w:bottom w:val="none" w:sz="0" w:space="0" w:color="auto"/>
        <w:right w:val="none" w:sz="0" w:space="0" w:color="auto"/>
      </w:divBdr>
    </w:div>
    <w:div w:id="346253304">
      <w:bodyDiv w:val="1"/>
      <w:marLeft w:val="0"/>
      <w:marRight w:val="0"/>
      <w:marTop w:val="0"/>
      <w:marBottom w:val="0"/>
      <w:divBdr>
        <w:top w:val="none" w:sz="0" w:space="0" w:color="auto"/>
        <w:left w:val="none" w:sz="0" w:space="0" w:color="auto"/>
        <w:bottom w:val="none" w:sz="0" w:space="0" w:color="auto"/>
        <w:right w:val="none" w:sz="0" w:space="0" w:color="auto"/>
      </w:divBdr>
      <w:divsChild>
        <w:div w:id="863328243">
          <w:marLeft w:val="0"/>
          <w:marRight w:val="0"/>
          <w:marTop w:val="0"/>
          <w:marBottom w:val="0"/>
          <w:divBdr>
            <w:top w:val="none" w:sz="0" w:space="0" w:color="auto"/>
            <w:left w:val="none" w:sz="0" w:space="0" w:color="auto"/>
            <w:bottom w:val="none" w:sz="0" w:space="0" w:color="auto"/>
            <w:right w:val="none" w:sz="0" w:space="0" w:color="auto"/>
          </w:divBdr>
        </w:div>
      </w:divsChild>
    </w:div>
    <w:div w:id="355160543">
      <w:bodyDiv w:val="1"/>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
      </w:divsChild>
    </w:div>
    <w:div w:id="366024046">
      <w:bodyDiv w:val="1"/>
      <w:marLeft w:val="0"/>
      <w:marRight w:val="0"/>
      <w:marTop w:val="0"/>
      <w:marBottom w:val="0"/>
      <w:divBdr>
        <w:top w:val="none" w:sz="0" w:space="0" w:color="auto"/>
        <w:left w:val="none" w:sz="0" w:space="0" w:color="auto"/>
        <w:bottom w:val="none" w:sz="0" w:space="0" w:color="auto"/>
        <w:right w:val="none" w:sz="0" w:space="0" w:color="auto"/>
      </w:divBdr>
      <w:divsChild>
        <w:div w:id="62487911">
          <w:marLeft w:val="0"/>
          <w:marRight w:val="0"/>
          <w:marTop w:val="0"/>
          <w:marBottom w:val="0"/>
          <w:divBdr>
            <w:top w:val="none" w:sz="0" w:space="0" w:color="auto"/>
            <w:left w:val="none" w:sz="0" w:space="0" w:color="auto"/>
            <w:bottom w:val="none" w:sz="0" w:space="0" w:color="auto"/>
            <w:right w:val="none" w:sz="0" w:space="0" w:color="auto"/>
          </w:divBdr>
        </w:div>
      </w:divsChild>
    </w:div>
    <w:div w:id="377781681">
      <w:bodyDiv w:val="1"/>
      <w:marLeft w:val="0"/>
      <w:marRight w:val="0"/>
      <w:marTop w:val="0"/>
      <w:marBottom w:val="0"/>
      <w:divBdr>
        <w:top w:val="none" w:sz="0" w:space="0" w:color="auto"/>
        <w:left w:val="none" w:sz="0" w:space="0" w:color="auto"/>
        <w:bottom w:val="none" w:sz="0" w:space="0" w:color="auto"/>
        <w:right w:val="none" w:sz="0" w:space="0" w:color="auto"/>
      </w:divBdr>
      <w:divsChild>
        <w:div w:id="2059235553">
          <w:marLeft w:val="0"/>
          <w:marRight w:val="0"/>
          <w:marTop w:val="0"/>
          <w:marBottom w:val="0"/>
          <w:divBdr>
            <w:top w:val="none" w:sz="0" w:space="0" w:color="auto"/>
            <w:left w:val="none" w:sz="0" w:space="0" w:color="auto"/>
            <w:bottom w:val="none" w:sz="0" w:space="0" w:color="auto"/>
            <w:right w:val="none" w:sz="0" w:space="0" w:color="auto"/>
          </w:divBdr>
        </w:div>
      </w:divsChild>
    </w:div>
    <w:div w:id="394011880">
      <w:bodyDiv w:val="1"/>
      <w:marLeft w:val="0"/>
      <w:marRight w:val="0"/>
      <w:marTop w:val="0"/>
      <w:marBottom w:val="0"/>
      <w:divBdr>
        <w:top w:val="none" w:sz="0" w:space="0" w:color="auto"/>
        <w:left w:val="none" w:sz="0" w:space="0" w:color="auto"/>
        <w:bottom w:val="none" w:sz="0" w:space="0" w:color="auto"/>
        <w:right w:val="none" w:sz="0" w:space="0" w:color="auto"/>
      </w:divBdr>
      <w:divsChild>
        <w:div w:id="1514034689">
          <w:marLeft w:val="0"/>
          <w:marRight w:val="0"/>
          <w:marTop w:val="0"/>
          <w:marBottom w:val="0"/>
          <w:divBdr>
            <w:top w:val="none" w:sz="0" w:space="0" w:color="auto"/>
            <w:left w:val="none" w:sz="0" w:space="0" w:color="auto"/>
            <w:bottom w:val="none" w:sz="0" w:space="0" w:color="auto"/>
            <w:right w:val="none" w:sz="0" w:space="0" w:color="auto"/>
          </w:divBdr>
        </w:div>
      </w:divsChild>
    </w:div>
    <w:div w:id="400912702">
      <w:bodyDiv w:val="1"/>
      <w:marLeft w:val="0"/>
      <w:marRight w:val="0"/>
      <w:marTop w:val="0"/>
      <w:marBottom w:val="0"/>
      <w:divBdr>
        <w:top w:val="none" w:sz="0" w:space="0" w:color="auto"/>
        <w:left w:val="none" w:sz="0" w:space="0" w:color="auto"/>
        <w:bottom w:val="none" w:sz="0" w:space="0" w:color="auto"/>
        <w:right w:val="none" w:sz="0" w:space="0" w:color="auto"/>
      </w:divBdr>
    </w:div>
    <w:div w:id="427778909">
      <w:bodyDiv w:val="1"/>
      <w:marLeft w:val="0"/>
      <w:marRight w:val="0"/>
      <w:marTop w:val="0"/>
      <w:marBottom w:val="0"/>
      <w:divBdr>
        <w:top w:val="none" w:sz="0" w:space="0" w:color="auto"/>
        <w:left w:val="none" w:sz="0" w:space="0" w:color="auto"/>
        <w:bottom w:val="none" w:sz="0" w:space="0" w:color="auto"/>
        <w:right w:val="none" w:sz="0" w:space="0" w:color="auto"/>
      </w:divBdr>
    </w:div>
    <w:div w:id="472910292">
      <w:bodyDiv w:val="1"/>
      <w:marLeft w:val="0"/>
      <w:marRight w:val="0"/>
      <w:marTop w:val="0"/>
      <w:marBottom w:val="0"/>
      <w:divBdr>
        <w:top w:val="none" w:sz="0" w:space="0" w:color="auto"/>
        <w:left w:val="none" w:sz="0" w:space="0" w:color="auto"/>
        <w:bottom w:val="none" w:sz="0" w:space="0" w:color="auto"/>
        <w:right w:val="none" w:sz="0" w:space="0" w:color="auto"/>
      </w:divBdr>
      <w:divsChild>
        <w:div w:id="606696810">
          <w:marLeft w:val="0"/>
          <w:marRight w:val="0"/>
          <w:marTop w:val="0"/>
          <w:marBottom w:val="0"/>
          <w:divBdr>
            <w:top w:val="none" w:sz="0" w:space="0" w:color="auto"/>
            <w:left w:val="none" w:sz="0" w:space="0" w:color="auto"/>
            <w:bottom w:val="none" w:sz="0" w:space="0" w:color="auto"/>
            <w:right w:val="none" w:sz="0" w:space="0" w:color="auto"/>
          </w:divBdr>
        </w:div>
      </w:divsChild>
    </w:div>
    <w:div w:id="492182521">
      <w:bodyDiv w:val="1"/>
      <w:marLeft w:val="0"/>
      <w:marRight w:val="0"/>
      <w:marTop w:val="0"/>
      <w:marBottom w:val="0"/>
      <w:divBdr>
        <w:top w:val="none" w:sz="0" w:space="0" w:color="auto"/>
        <w:left w:val="none" w:sz="0" w:space="0" w:color="auto"/>
        <w:bottom w:val="none" w:sz="0" w:space="0" w:color="auto"/>
        <w:right w:val="none" w:sz="0" w:space="0" w:color="auto"/>
      </w:divBdr>
      <w:divsChild>
        <w:div w:id="308245793">
          <w:marLeft w:val="0"/>
          <w:marRight w:val="0"/>
          <w:marTop w:val="0"/>
          <w:marBottom w:val="0"/>
          <w:divBdr>
            <w:top w:val="none" w:sz="0" w:space="0" w:color="auto"/>
            <w:left w:val="none" w:sz="0" w:space="0" w:color="auto"/>
            <w:bottom w:val="none" w:sz="0" w:space="0" w:color="auto"/>
            <w:right w:val="none" w:sz="0" w:space="0" w:color="auto"/>
          </w:divBdr>
        </w:div>
      </w:divsChild>
    </w:div>
    <w:div w:id="499662102">
      <w:bodyDiv w:val="1"/>
      <w:marLeft w:val="0"/>
      <w:marRight w:val="0"/>
      <w:marTop w:val="0"/>
      <w:marBottom w:val="0"/>
      <w:divBdr>
        <w:top w:val="none" w:sz="0" w:space="0" w:color="auto"/>
        <w:left w:val="none" w:sz="0" w:space="0" w:color="auto"/>
        <w:bottom w:val="none" w:sz="0" w:space="0" w:color="auto"/>
        <w:right w:val="none" w:sz="0" w:space="0" w:color="auto"/>
      </w:divBdr>
      <w:divsChild>
        <w:div w:id="12810239">
          <w:marLeft w:val="0"/>
          <w:marRight w:val="0"/>
          <w:marTop w:val="0"/>
          <w:marBottom w:val="0"/>
          <w:divBdr>
            <w:top w:val="none" w:sz="0" w:space="0" w:color="auto"/>
            <w:left w:val="none" w:sz="0" w:space="0" w:color="auto"/>
            <w:bottom w:val="none" w:sz="0" w:space="0" w:color="auto"/>
            <w:right w:val="none" w:sz="0" w:space="0" w:color="auto"/>
          </w:divBdr>
        </w:div>
      </w:divsChild>
    </w:div>
    <w:div w:id="501940756">
      <w:bodyDiv w:val="1"/>
      <w:marLeft w:val="0"/>
      <w:marRight w:val="0"/>
      <w:marTop w:val="0"/>
      <w:marBottom w:val="0"/>
      <w:divBdr>
        <w:top w:val="none" w:sz="0" w:space="0" w:color="auto"/>
        <w:left w:val="none" w:sz="0" w:space="0" w:color="auto"/>
        <w:bottom w:val="none" w:sz="0" w:space="0" w:color="auto"/>
        <w:right w:val="none" w:sz="0" w:space="0" w:color="auto"/>
      </w:divBdr>
      <w:divsChild>
        <w:div w:id="193203128">
          <w:marLeft w:val="0"/>
          <w:marRight w:val="0"/>
          <w:marTop w:val="0"/>
          <w:marBottom w:val="0"/>
          <w:divBdr>
            <w:top w:val="none" w:sz="0" w:space="0" w:color="auto"/>
            <w:left w:val="none" w:sz="0" w:space="0" w:color="auto"/>
            <w:bottom w:val="none" w:sz="0" w:space="0" w:color="auto"/>
            <w:right w:val="none" w:sz="0" w:space="0" w:color="auto"/>
          </w:divBdr>
        </w:div>
      </w:divsChild>
    </w:div>
    <w:div w:id="513884293">
      <w:bodyDiv w:val="1"/>
      <w:marLeft w:val="0"/>
      <w:marRight w:val="0"/>
      <w:marTop w:val="0"/>
      <w:marBottom w:val="0"/>
      <w:divBdr>
        <w:top w:val="none" w:sz="0" w:space="0" w:color="auto"/>
        <w:left w:val="none" w:sz="0" w:space="0" w:color="auto"/>
        <w:bottom w:val="none" w:sz="0" w:space="0" w:color="auto"/>
        <w:right w:val="none" w:sz="0" w:space="0" w:color="auto"/>
      </w:divBdr>
    </w:div>
    <w:div w:id="521631738">
      <w:bodyDiv w:val="1"/>
      <w:marLeft w:val="0"/>
      <w:marRight w:val="0"/>
      <w:marTop w:val="0"/>
      <w:marBottom w:val="0"/>
      <w:divBdr>
        <w:top w:val="none" w:sz="0" w:space="0" w:color="auto"/>
        <w:left w:val="none" w:sz="0" w:space="0" w:color="auto"/>
        <w:bottom w:val="none" w:sz="0" w:space="0" w:color="auto"/>
        <w:right w:val="none" w:sz="0" w:space="0" w:color="auto"/>
      </w:divBdr>
    </w:div>
    <w:div w:id="548881692">
      <w:bodyDiv w:val="1"/>
      <w:marLeft w:val="0"/>
      <w:marRight w:val="0"/>
      <w:marTop w:val="0"/>
      <w:marBottom w:val="0"/>
      <w:divBdr>
        <w:top w:val="none" w:sz="0" w:space="0" w:color="auto"/>
        <w:left w:val="none" w:sz="0" w:space="0" w:color="auto"/>
        <w:bottom w:val="none" w:sz="0" w:space="0" w:color="auto"/>
        <w:right w:val="none" w:sz="0" w:space="0" w:color="auto"/>
      </w:divBdr>
      <w:divsChild>
        <w:div w:id="1470319112">
          <w:marLeft w:val="0"/>
          <w:marRight w:val="0"/>
          <w:marTop w:val="0"/>
          <w:marBottom w:val="0"/>
          <w:divBdr>
            <w:top w:val="none" w:sz="0" w:space="0" w:color="auto"/>
            <w:left w:val="none" w:sz="0" w:space="0" w:color="auto"/>
            <w:bottom w:val="none" w:sz="0" w:space="0" w:color="auto"/>
            <w:right w:val="none" w:sz="0" w:space="0" w:color="auto"/>
          </w:divBdr>
        </w:div>
      </w:divsChild>
    </w:div>
    <w:div w:id="551577404">
      <w:bodyDiv w:val="1"/>
      <w:marLeft w:val="0"/>
      <w:marRight w:val="0"/>
      <w:marTop w:val="0"/>
      <w:marBottom w:val="0"/>
      <w:divBdr>
        <w:top w:val="none" w:sz="0" w:space="0" w:color="auto"/>
        <w:left w:val="none" w:sz="0" w:space="0" w:color="auto"/>
        <w:bottom w:val="none" w:sz="0" w:space="0" w:color="auto"/>
        <w:right w:val="none" w:sz="0" w:space="0" w:color="auto"/>
      </w:divBdr>
      <w:divsChild>
        <w:div w:id="1152717883">
          <w:marLeft w:val="0"/>
          <w:marRight w:val="0"/>
          <w:marTop w:val="0"/>
          <w:marBottom w:val="0"/>
          <w:divBdr>
            <w:top w:val="none" w:sz="0" w:space="0" w:color="auto"/>
            <w:left w:val="none" w:sz="0" w:space="0" w:color="auto"/>
            <w:bottom w:val="none" w:sz="0" w:space="0" w:color="auto"/>
            <w:right w:val="none" w:sz="0" w:space="0" w:color="auto"/>
          </w:divBdr>
        </w:div>
      </w:divsChild>
    </w:div>
    <w:div w:id="593126134">
      <w:bodyDiv w:val="1"/>
      <w:marLeft w:val="0"/>
      <w:marRight w:val="0"/>
      <w:marTop w:val="0"/>
      <w:marBottom w:val="0"/>
      <w:divBdr>
        <w:top w:val="none" w:sz="0" w:space="0" w:color="auto"/>
        <w:left w:val="none" w:sz="0" w:space="0" w:color="auto"/>
        <w:bottom w:val="none" w:sz="0" w:space="0" w:color="auto"/>
        <w:right w:val="none" w:sz="0" w:space="0" w:color="auto"/>
      </w:divBdr>
    </w:div>
    <w:div w:id="597249119">
      <w:bodyDiv w:val="1"/>
      <w:marLeft w:val="0"/>
      <w:marRight w:val="0"/>
      <w:marTop w:val="0"/>
      <w:marBottom w:val="0"/>
      <w:divBdr>
        <w:top w:val="none" w:sz="0" w:space="0" w:color="auto"/>
        <w:left w:val="none" w:sz="0" w:space="0" w:color="auto"/>
        <w:bottom w:val="none" w:sz="0" w:space="0" w:color="auto"/>
        <w:right w:val="none" w:sz="0" w:space="0" w:color="auto"/>
      </w:divBdr>
      <w:divsChild>
        <w:div w:id="1781535362">
          <w:marLeft w:val="0"/>
          <w:marRight w:val="0"/>
          <w:marTop w:val="0"/>
          <w:marBottom w:val="0"/>
          <w:divBdr>
            <w:top w:val="none" w:sz="0" w:space="0" w:color="auto"/>
            <w:left w:val="none" w:sz="0" w:space="0" w:color="auto"/>
            <w:bottom w:val="none" w:sz="0" w:space="0" w:color="auto"/>
            <w:right w:val="none" w:sz="0" w:space="0" w:color="auto"/>
          </w:divBdr>
        </w:div>
      </w:divsChild>
    </w:div>
    <w:div w:id="605234891">
      <w:bodyDiv w:val="1"/>
      <w:marLeft w:val="0"/>
      <w:marRight w:val="0"/>
      <w:marTop w:val="0"/>
      <w:marBottom w:val="0"/>
      <w:divBdr>
        <w:top w:val="none" w:sz="0" w:space="0" w:color="auto"/>
        <w:left w:val="none" w:sz="0" w:space="0" w:color="auto"/>
        <w:bottom w:val="none" w:sz="0" w:space="0" w:color="auto"/>
        <w:right w:val="none" w:sz="0" w:space="0" w:color="auto"/>
      </w:divBdr>
      <w:divsChild>
        <w:div w:id="561067313">
          <w:marLeft w:val="0"/>
          <w:marRight w:val="0"/>
          <w:marTop w:val="0"/>
          <w:marBottom w:val="0"/>
          <w:divBdr>
            <w:top w:val="none" w:sz="0" w:space="0" w:color="auto"/>
            <w:left w:val="none" w:sz="0" w:space="0" w:color="auto"/>
            <w:bottom w:val="none" w:sz="0" w:space="0" w:color="auto"/>
            <w:right w:val="none" w:sz="0" w:space="0" w:color="auto"/>
          </w:divBdr>
        </w:div>
      </w:divsChild>
    </w:div>
    <w:div w:id="617106603">
      <w:bodyDiv w:val="1"/>
      <w:marLeft w:val="0"/>
      <w:marRight w:val="0"/>
      <w:marTop w:val="0"/>
      <w:marBottom w:val="0"/>
      <w:divBdr>
        <w:top w:val="none" w:sz="0" w:space="0" w:color="auto"/>
        <w:left w:val="none" w:sz="0" w:space="0" w:color="auto"/>
        <w:bottom w:val="none" w:sz="0" w:space="0" w:color="auto"/>
        <w:right w:val="none" w:sz="0" w:space="0" w:color="auto"/>
      </w:divBdr>
      <w:divsChild>
        <w:div w:id="1281260724">
          <w:marLeft w:val="0"/>
          <w:marRight w:val="0"/>
          <w:marTop w:val="0"/>
          <w:marBottom w:val="0"/>
          <w:divBdr>
            <w:top w:val="none" w:sz="0" w:space="0" w:color="auto"/>
            <w:left w:val="none" w:sz="0" w:space="0" w:color="auto"/>
            <w:bottom w:val="none" w:sz="0" w:space="0" w:color="auto"/>
            <w:right w:val="none" w:sz="0" w:space="0" w:color="auto"/>
          </w:divBdr>
        </w:div>
      </w:divsChild>
    </w:div>
    <w:div w:id="620574070">
      <w:bodyDiv w:val="1"/>
      <w:marLeft w:val="0"/>
      <w:marRight w:val="0"/>
      <w:marTop w:val="0"/>
      <w:marBottom w:val="0"/>
      <w:divBdr>
        <w:top w:val="none" w:sz="0" w:space="0" w:color="auto"/>
        <w:left w:val="none" w:sz="0" w:space="0" w:color="auto"/>
        <w:bottom w:val="none" w:sz="0" w:space="0" w:color="auto"/>
        <w:right w:val="none" w:sz="0" w:space="0" w:color="auto"/>
      </w:divBdr>
      <w:divsChild>
        <w:div w:id="303511026">
          <w:marLeft w:val="0"/>
          <w:marRight w:val="0"/>
          <w:marTop w:val="0"/>
          <w:marBottom w:val="0"/>
          <w:divBdr>
            <w:top w:val="none" w:sz="0" w:space="0" w:color="auto"/>
            <w:left w:val="none" w:sz="0" w:space="0" w:color="auto"/>
            <w:bottom w:val="none" w:sz="0" w:space="0" w:color="auto"/>
            <w:right w:val="none" w:sz="0" w:space="0" w:color="auto"/>
          </w:divBdr>
        </w:div>
      </w:divsChild>
    </w:div>
    <w:div w:id="632252517">
      <w:bodyDiv w:val="1"/>
      <w:marLeft w:val="0"/>
      <w:marRight w:val="0"/>
      <w:marTop w:val="0"/>
      <w:marBottom w:val="0"/>
      <w:divBdr>
        <w:top w:val="none" w:sz="0" w:space="0" w:color="auto"/>
        <w:left w:val="none" w:sz="0" w:space="0" w:color="auto"/>
        <w:bottom w:val="none" w:sz="0" w:space="0" w:color="auto"/>
        <w:right w:val="none" w:sz="0" w:space="0" w:color="auto"/>
      </w:divBdr>
    </w:div>
    <w:div w:id="678702143">
      <w:bodyDiv w:val="1"/>
      <w:marLeft w:val="0"/>
      <w:marRight w:val="0"/>
      <w:marTop w:val="0"/>
      <w:marBottom w:val="0"/>
      <w:divBdr>
        <w:top w:val="none" w:sz="0" w:space="0" w:color="auto"/>
        <w:left w:val="none" w:sz="0" w:space="0" w:color="auto"/>
        <w:bottom w:val="none" w:sz="0" w:space="0" w:color="auto"/>
        <w:right w:val="none" w:sz="0" w:space="0" w:color="auto"/>
      </w:divBdr>
      <w:divsChild>
        <w:div w:id="1181889871">
          <w:marLeft w:val="0"/>
          <w:marRight w:val="0"/>
          <w:marTop w:val="0"/>
          <w:marBottom w:val="0"/>
          <w:divBdr>
            <w:top w:val="none" w:sz="0" w:space="0" w:color="auto"/>
            <w:left w:val="none" w:sz="0" w:space="0" w:color="auto"/>
            <w:bottom w:val="none" w:sz="0" w:space="0" w:color="auto"/>
            <w:right w:val="none" w:sz="0" w:space="0" w:color="auto"/>
          </w:divBdr>
        </w:div>
      </w:divsChild>
    </w:div>
    <w:div w:id="684013856">
      <w:bodyDiv w:val="1"/>
      <w:marLeft w:val="0"/>
      <w:marRight w:val="0"/>
      <w:marTop w:val="0"/>
      <w:marBottom w:val="0"/>
      <w:divBdr>
        <w:top w:val="none" w:sz="0" w:space="0" w:color="auto"/>
        <w:left w:val="none" w:sz="0" w:space="0" w:color="auto"/>
        <w:bottom w:val="none" w:sz="0" w:space="0" w:color="auto"/>
        <w:right w:val="none" w:sz="0" w:space="0" w:color="auto"/>
      </w:divBdr>
      <w:divsChild>
        <w:div w:id="1640569472">
          <w:marLeft w:val="0"/>
          <w:marRight w:val="0"/>
          <w:marTop w:val="0"/>
          <w:marBottom w:val="0"/>
          <w:divBdr>
            <w:top w:val="none" w:sz="0" w:space="0" w:color="auto"/>
            <w:left w:val="none" w:sz="0" w:space="0" w:color="auto"/>
            <w:bottom w:val="none" w:sz="0" w:space="0" w:color="auto"/>
            <w:right w:val="none" w:sz="0" w:space="0" w:color="auto"/>
          </w:divBdr>
        </w:div>
      </w:divsChild>
    </w:div>
    <w:div w:id="695695289">
      <w:bodyDiv w:val="1"/>
      <w:marLeft w:val="0"/>
      <w:marRight w:val="0"/>
      <w:marTop w:val="0"/>
      <w:marBottom w:val="0"/>
      <w:divBdr>
        <w:top w:val="none" w:sz="0" w:space="0" w:color="auto"/>
        <w:left w:val="none" w:sz="0" w:space="0" w:color="auto"/>
        <w:bottom w:val="none" w:sz="0" w:space="0" w:color="auto"/>
        <w:right w:val="none" w:sz="0" w:space="0" w:color="auto"/>
      </w:divBdr>
    </w:div>
    <w:div w:id="718163880">
      <w:bodyDiv w:val="1"/>
      <w:marLeft w:val="0"/>
      <w:marRight w:val="0"/>
      <w:marTop w:val="0"/>
      <w:marBottom w:val="0"/>
      <w:divBdr>
        <w:top w:val="none" w:sz="0" w:space="0" w:color="auto"/>
        <w:left w:val="none" w:sz="0" w:space="0" w:color="auto"/>
        <w:bottom w:val="none" w:sz="0" w:space="0" w:color="auto"/>
        <w:right w:val="none" w:sz="0" w:space="0" w:color="auto"/>
      </w:divBdr>
    </w:div>
    <w:div w:id="725185046">
      <w:bodyDiv w:val="1"/>
      <w:marLeft w:val="0"/>
      <w:marRight w:val="0"/>
      <w:marTop w:val="0"/>
      <w:marBottom w:val="0"/>
      <w:divBdr>
        <w:top w:val="none" w:sz="0" w:space="0" w:color="auto"/>
        <w:left w:val="none" w:sz="0" w:space="0" w:color="auto"/>
        <w:bottom w:val="none" w:sz="0" w:space="0" w:color="auto"/>
        <w:right w:val="none" w:sz="0" w:space="0" w:color="auto"/>
      </w:divBdr>
    </w:div>
    <w:div w:id="742947494">
      <w:bodyDiv w:val="1"/>
      <w:marLeft w:val="0"/>
      <w:marRight w:val="0"/>
      <w:marTop w:val="0"/>
      <w:marBottom w:val="0"/>
      <w:divBdr>
        <w:top w:val="none" w:sz="0" w:space="0" w:color="auto"/>
        <w:left w:val="none" w:sz="0" w:space="0" w:color="auto"/>
        <w:bottom w:val="none" w:sz="0" w:space="0" w:color="auto"/>
        <w:right w:val="none" w:sz="0" w:space="0" w:color="auto"/>
      </w:divBdr>
      <w:divsChild>
        <w:div w:id="1008872375">
          <w:marLeft w:val="0"/>
          <w:marRight w:val="0"/>
          <w:marTop w:val="0"/>
          <w:marBottom w:val="0"/>
          <w:divBdr>
            <w:top w:val="none" w:sz="0" w:space="0" w:color="auto"/>
            <w:left w:val="none" w:sz="0" w:space="0" w:color="auto"/>
            <w:bottom w:val="none" w:sz="0" w:space="0" w:color="auto"/>
            <w:right w:val="none" w:sz="0" w:space="0" w:color="auto"/>
          </w:divBdr>
        </w:div>
      </w:divsChild>
    </w:div>
    <w:div w:id="762720686">
      <w:bodyDiv w:val="1"/>
      <w:marLeft w:val="0"/>
      <w:marRight w:val="0"/>
      <w:marTop w:val="0"/>
      <w:marBottom w:val="0"/>
      <w:divBdr>
        <w:top w:val="none" w:sz="0" w:space="0" w:color="auto"/>
        <w:left w:val="none" w:sz="0" w:space="0" w:color="auto"/>
        <w:bottom w:val="none" w:sz="0" w:space="0" w:color="auto"/>
        <w:right w:val="none" w:sz="0" w:space="0" w:color="auto"/>
      </w:divBdr>
      <w:divsChild>
        <w:div w:id="1871334069">
          <w:marLeft w:val="0"/>
          <w:marRight w:val="0"/>
          <w:marTop w:val="0"/>
          <w:marBottom w:val="0"/>
          <w:divBdr>
            <w:top w:val="none" w:sz="0" w:space="0" w:color="auto"/>
            <w:left w:val="none" w:sz="0" w:space="0" w:color="auto"/>
            <w:bottom w:val="none" w:sz="0" w:space="0" w:color="auto"/>
            <w:right w:val="none" w:sz="0" w:space="0" w:color="auto"/>
          </w:divBdr>
        </w:div>
      </w:divsChild>
    </w:div>
    <w:div w:id="776410863">
      <w:bodyDiv w:val="1"/>
      <w:marLeft w:val="0"/>
      <w:marRight w:val="0"/>
      <w:marTop w:val="0"/>
      <w:marBottom w:val="0"/>
      <w:divBdr>
        <w:top w:val="none" w:sz="0" w:space="0" w:color="auto"/>
        <w:left w:val="none" w:sz="0" w:space="0" w:color="auto"/>
        <w:bottom w:val="none" w:sz="0" w:space="0" w:color="auto"/>
        <w:right w:val="none" w:sz="0" w:space="0" w:color="auto"/>
      </w:divBdr>
      <w:divsChild>
        <w:div w:id="5375801">
          <w:marLeft w:val="0"/>
          <w:marRight w:val="0"/>
          <w:marTop w:val="0"/>
          <w:marBottom w:val="0"/>
          <w:divBdr>
            <w:top w:val="none" w:sz="0" w:space="0" w:color="auto"/>
            <w:left w:val="none" w:sz="0" w:space="0" w:color="auto"/>
            <w:bottom w:val="none" w:sz="0" w:space="0" w:color="auto"/>
            <w:right w:val="none" w:sz="0" w:space="0" w:color="auto"/>
          </w:divBdr>
        </w:div>
      </w:divsChild>
    </w:div>
    <w:div w:id="790441592">
      <w:bodyDiv w:val="1"/>
      <w:marLeft w:val="0"/>
      <w:marRight w:val="0"/>
      <w:marTop w:val="0"/>
      <w:marBottom w:val="0"/>
      <w:divBdr>
        <w:top w:val="none" w:sz="0" w:space="0" w:color="auto"/>
        <w:left w:val="none" w:sz="0" w:space="0" w:color="auto"/>
        <w:bottom w:val="none" w:sz="0" w:space="0" w:color="auto"/>
        <w:right w:val="none" w:sz="0" w:space="0" w:color="auto"/>
      </w:divBdr>
      <w:divsChild>
        <w:div w:id="899361689">
          <w:marLeft w:val="0"/>
          <w:marRight w:val="0"/>
          <w:marTop w:val="0"/>
          <w:marBottom w:val="0"/>
          <w:divBdr>
            <w:top w:val="none" w:sz="0" w:space="0" w:color="auto"/>
            <w:left w:val="none" w:sz="0" w:space="0" w:color="auto"/>
            <w:bottom w:val="none" w:sz="0" w:space="0" w:color="auto"/>
            <w:right w:val="none" w:sz="0" w:space="0" w:color="auto"/>
          </w:divBdr>
        </w:div>
      </w:divsChild>
    </w:div>
    <w:div w:id="797064564">
      <w:bodyDiv w:val="1"/>
      <w:marLeft w:val="0"/>
      <w:marRight w:val="0"/>
      <w:marTop w:val="0"/>
      <w:marBottom w:val="0"/>
      <w:divBdr>
        <w:top w:val="none" w:sz="0" w:space="0" w:color="auto"/>
        <w:left w:val="none" w:sz="0" w:space="0" w:color="auto"/>
        <w:bottom w:val="none" w:sz="0" w:space="0" w:color="auto"/>
        <w:right w:val="none" w:sz="0" w:space="0" w:color="auto"/>
      </w:divBdr>
      <w:divsChild>
        <w:div w:id="951520141">
          <w:marLeft w:val="0"/>
          <w:marRight w:val="0"/>
          <w:marTop w:val="0"/>
          <w:marBottom w:val="0"/>
          <w:divBdr>
            <w:top w:val="none" w:sz="0" w:space="0" w:color="auto"/>
            <w:left w:val="none" w:sz="0" w:space="0" w:color="auto"/>
            <w:bottom w:val="none" w:sz="0" w:space="0" w:color="auto"/>
            <w:right w:val="none" w:sz="0" w:space="0" w:color="auto"/>
          </w:divBdr>
        </w:div>
      </w:divsChild>
    </w:div>
    <w:div w:id="797142537">
      <w:bodyDiv w:val="1"/>
      <w:marLeft w:val="0"/>
      <w:marRight w:val="0"/>
      <w:marTop w:val="0"/>
      <w:marBottom w:val="0"/>
      <w:divBdr>
        <w:top w:val="none" w:sz="0" w:space="0" w:color="auto"/>
        <w:left w:val="none" w:sz="0" w:space="0" w:color="auto"/>
        <w:bottom w:val="none" w:sz="0" w:space="0" w:color="auto"/>
        <w:right w:val="none" w:sz="0" w:space="0" w:color="auto"/>
      </w:divBdr>
    </w:div>
    <w:div w:id="807087001">
      <w:bodyDiv w:val="1"/>
      <w:marLeft w:val="0"/>
      <w:marRight w:val="0"/>
      <w:marTop w:val="0"/>
      <w:marBottom w:val="0"/>
      <w:divBdr>
        <w:top w:val="none" w:sz="0" w:space="0" w:color="auto"/>
        <w:left w:val="none" w:sz="0" w:space="0" w:color="auto"/>
        <w:bottom w:val="none" w:sz="0" w:space="0" w:color="auto"/>
        <w:right w:val="none" w:sz="0" w:space="0" w:color="auto"/>
      </w:divBdr>
      <w:divsChild>
        <w:div w:id="365446830">
          <w:marLeft w:val="0"/>
          <w:marRight w:val="0"/>
          <w:marTop w:val="0"/>
          <w:marBottom w:val="0"/>
          <w:divBdr>
            <w:top w:val="none" w:sz="0" w:space="0" w:color="auto"/>
            <w:left w:val="none" w:sz="0" w:space="0" w:color="auto"/>
            <w:bottom w:val="none" w:sz="0" w:space="0" w:color="auto"/>
            <w:right w:val="none" w:sz="0" w:space="0" w:color="auto"/>
          </w:divBdr>
        </w:div>
      </w:divsChild>
    </w:div>
    <w:div w:id="812059510">
      <w:bodyDiv w:val="1"/>
      <w:marLeft w:val="0"/>
      <w:marRight w:val="0"/>
      <w:marTop w:val="0"/>
      <w:marBottom w:val="0"/>
      <w:divBdr>
        <w:top w:val="none" w:sz="0" w:space="0" w:color="auto"/>
        <w:left w:val="none" w:sz="0" w:space="0" w:color="auto"/>
        <w:bottom w:val="none" w:sz="0" w:space="0" w:color="auto"/>
        <w:right w:val="none" w:sz="0" w:space="0" w:color="auto"/>
      </w:divBdr>
    </w:div>
    <w:div w:id="847796576">
      <w:bodyDiv w:val="1"/>
      <w:marLeft w:val="0"/>
      <w:marRight w:val="0"/>
      <w:marTop w:val="0"/>
      <w:marBottom w:val="0"/>
      <w:divBdr>
        <w:top w:val="none" w:sz="0" w:space="0" w:color="auto"/>
        <w:left w:val="none" w:sz="0" w:space="0" w:color="auto"/>
        <w:bottom w:val="none" w:sz="0" w:space="0" w:color="auto"/>
        <w:right w:val="none" w:sz="0" w:space="0" w:color="auto"/>
      </w:divBdr>
      <w:divsChild>
        <w:div w:id="65029723">
          <w:marLeft w:val="0"/>
          <w:marRight w:val="0"/>
          <w:marTop w:val="0"/>
          <w:marBottom w:val="0"/>
          <w:divBdr>
            <w:top w:val="none" w:sz="0" w:space="0" w:color="auto"/>
            <w:left w:val="none" w:sz="0" w:space="0" w:color="auto"/>
            <w:bottom w:val="none" w:sz="0" w:space="0" w:color="auto"/>
            <w:right w:val="none" w:sz="0" w:space="0" w:color="auto"/>
          </w:divBdr>
        </w:div>
      </w:divsChild>
    </w:div>
    <w:div w:id="850342101">
      <w:bodyDiv w:val="1"/>
      <w:marLeft w:val="0"/>
      <w:marRight w:val="0"/>
      <w:marTop w:val="0"/>
      <w:marBottom w:val="0"/>
      <w:divBdr>
        <w:top w:val="none" w:sz="0" w:space="0" w:color="auto"/>
        <w:left w:val="none" w:sz="0" w:space="0" w:color="auto"/>
        <w:bottom w:val="none" w:sz="0" w:space="0" w:color="auto"/>
        <w:right w:val="none" w:sz="0" w:space="0" w:color="auto"/>
      </w:divBdr>
      <w:divsChild>
        <w:div w:id="1370759015">
          <w:marLeft w:val="0"/>
          <w:marRight w:val="0"/>
          <w:marTop w:val="0"/>
          <w:marBottom w:val="0"/>
          <w:divBdr>
            <w:top w:val="none" w:sz="0" w:space="0" w:color="auto"/>
            <w:left w:val="none" w:sz="0" w:space="0" w:color="auto"/>
            <w:bottom w:val="none" w:sz="0" w:space="0" w:color="auto"/>
            <w:right w:val="none" w:sz="0" w:space="0" w:color="auto"/>
          </w:divBdr>
        </w:div>
      </w:divsChild>
    </w:div>
    <w:div w:id="859589890">
      <w:bodyDiv w:val="1"/>
      <w:marLeft w:val="0"/>
      <w:marRight w:val="0"/>
      <w:marTop w:val="0"/>
      <w:marBottom w:val="0"/>
      <w:divBdr>
        <w:top w:val="none" w:sz="0" w:space="0" w:color="auto"/>
        <w:left w:val="none" w:sz="0" w:space="0" w:color="auto"/>
        <w:bottom w:val="none" w:sz="0" w:space="0" w:color="auto"/>
        <w:right w:val="none" w:sz="0" w:space="0" w:color="auto"/>
      </w:divBdr>
      <w:divsChild>
        <w:div w:id="1527676121">
          <w:marLeft w:val="0"/>
          <w:marRight w:val="0"/>
          <w:marTop w:val="0"/>
          <w:marBottom w:val="0"/>
          <w:divBdr>
            <w:top w:val="none" w:sz="0" w:space="0" w:color="auto"/>
            <w:left w:val="none" w:sz="0" w:space="0" w:color="auto"/>
            <w:bottom w:val="none" w:sz="0" w:space="0" w:color="auto"/>
            <w:right w:val="none" w:sz="0" w:space="0" w:color="auto"/>
          </w:divBdr>
        </w:div>
      </w:divsChild>
    </w:div>
    <w:div w:id="874197996">
      <w:bodyDiv w:val="1"/>
      <w:marLeft w:val="0"/>
      <w:marRight w:val="0"/>
      <w:marTop w:val="0"/>
      <w:marBottom w:val="0"/>
      <w:divBdr>
        <w:top w:val="none" w:sz="0" w:space="0" w:color="auto"/>
        <w:left w:val="none" w:sz="0" w:space="0" w:color="auto"/>
        <w:bottom w:val="none" w:sz="0" w:space="0" w:color="auto"/>
        <w:right w:val="none" w:sz="0" w:space="0" w:color="auto"/>
      </w:divBdr>
    </w:div>
    <w:div w:id="881556816">
      <w:bodyDiv w:val="1"/>
      <w:marLeft w:val="0"/>
      <w:marRight w:val="0"/>
      <w:marTop w:val="0"/>
      <w:marBottom w:val="0"/>
      <w:divBdr>
        <w:top w:val="none" w:sz="0" w:space="0" w:color="auto"/>
        <w:left w:val="none" w:sz="0" w:space="0" w:color="auto"/>
        <w:bottom w:val="none" w:sz="0" w:space="0" w:color="auto"/>
        <w:right w:val="none" w:sz="0" w:space="0" w:color="auto"/>
      </w:divBdr>
    </w:div>
    <w:div w:id="887911699">
      <w:bodyDiv w:val="1"/>
      <w:marLeft w:val="0"/>
      <w:marRight w:val="0"/>
      <w:marTop w:val="0"/>
      <w:marBottom w:val="0"/>
      <w:divBdr>
        <w:top w:val="none" w:sz="0" w:space="0" w:color="auto"/>
        <w:left w:val="none" w:sz="0" w:space="0" w:color="auto"/>
        <w:bottom w:val="none" w:sz="0" w:space="0" w:color="auto"/>
        <w:right w:val="none" w:sz="0" w:space="0" w:color="auto"/>
      </w:divBdr>
    </w:div>
    <w:div w:id="912006724">
      <w:bodyDiv w:val="1"/>
      <w:marLeft w:val="0"/>
      <w:marRight w:val="0"/>
      <w:marTop w:val="0"/>
      <w:marBottom w:val="0"/>
      <w:divBdr>
        <w:top w:val="none" w:sz="0" w:space="0" w:color="auto"/>
        <w:left w:val="none" w:sz="0" w:space="0" w:color="auto"/>
        <w:bottom w:val="none" w:sz="0" w:space="0" w:color="auto"/>
        <w:right w:val="none" w:sz="0" w:space="0" w:color="auto"/>
      </w:divBdr>
    </w:div>
    <w:div w:id="913971079">
      <w:bodyDiv w:val="1"/>
      <w:marLeft w:val="0"/>
      <w:marRight w:val="0"/>
      <w:marTop w:val="0"/>
      <w:marBottom w:val="0"/>
      <w:divBdr>
        <w:top w:val="none" w:sz="0" w:space="0" w:color="auto"/>
        <w:left w:val="none" w:sz="0" w:space="0" w:color="auto"/>
        <w:bottom w:val="none" w:sz="0" w:space="0" w:color="auto"/>
        <w:right w:val="none" w:sz="0" w:space="0" w:color="auto"/>
      </w:divBdr>
      <w:divsChild>
        <w:div w:id="705059571">
          <w:marLeft w:val="0"/>
          <w:marRight w:val="0"/>
          <w:marTop w:val="0"/>
          <w:marBottom w:val="0"/>
          <w:divBdr>
            <w:top w:val="none" w:sz="0" w:space="0" w:color="auto"/>
            <w:left w:val="none" w:sz="0" w:space="0" w:color="auto"/>
            <w:bottom w:val="none" w:sz="0" w:space="0" w:color="auto"/>
            <w:right w:val="none" w:sz="0" w:space="0" w:color="auto"/>
          </w:divBdr>
        </w:div>
      </w:divsChild>
    </w:div>
    <w:div w:id="916786681">
      <w:bodyDiv w:val="1"/>
      <w:marLeft w:val="0"/>
      <w:marRight w:val="0"/>
      <w:marTop w:val="0"/>
      <w:marBottom w:val="0"/>
      <w:divBdr>
        <w:top w:val="none" w:sz="0" w:space="0" w:color="auto"/>
        <w:left w:val="none" w:sz="0" w:space="0" w:color="auto"/>
        <w:bottom w:val="none" w:sz="0" w:space="0" w:color="auto"/>
        <w:right w:val="none" w:sz="0" w:space="0" w:color="auto"/>
      </w:divBdr>
      <w:divsChild>
        <w:div w:id="1523057592">
          <w:marLeft w:val="0"/>
          <w:marRight w:val="0"/>
          <w:marTop w:val="0"/>
          <w:marBottom w:val="0"/>
          <w:divBdr>
            <w:top w:val="none" w:sz="0" w:space="0" w:color="auto"/>
            <w:left w:val="none" w:sz="0" w:space="0" w:color="auto"/>
            <w:bottom w:val="none" w:sz="0" w:space="0" w:color="auto"/>
            <w:right w:val="none" w:sz="0" w:space="0" w:color="auto"/>
          </w:divBdr>
        </w:div>
      </w:divsChild>
    </w:div>
    <w:div w:id="919868771">
      <w:bodyDiv w:val="1"/>
      <w:marLeft w:val="0"/>
      <w:marRight w:val="0"/>
      <w:marTop w:val="0"/>
      <w:marBottom w:val="0"/>
      <w:divBdr>
        <w:top w:val="none" w:sz="0" w:space="0" w:color="auto"/>
        <w:left w:val="none" w:sz="0" w:space="0" w:color="auto"/>
        <w:bottom w:val="none" w:sz="0" w:space="0" w:color="auto"/>
        <w:right w:val="none" w:sz="0" w:space="0" w:color="auto"/>
      </w:divBdr>
    </w:div>
    <w:div w:id="923224844">
      <w:bodyDiv w:val="1"/>
      <w:marLeft w:val="0"/>
      <w:marRight w:val="0"/>
      <w:marTop w:val="0"/>
      <w:marBottom w:val="0"/>
      <w:divBdr>
        <w:top w:val="none" w:sz="0" w:space="0" w:color="auto"/>
        <w:left w:val="none" w:sz="0" w:space="0" w:color="auto"/>
        <w:bottom w:val="none" w:sz="0" w:space="0" w:color="auto"/>
        <w:right w:val="none" w:sz="0" w:space="0" w:color="auto"/>
      </w:divBdr>
      <w:divsChild>
        <w:div w:id="2123723242">
          <w:marLeft w:val="0"/>
          <w:marRight w:val="0"/>
          <w:marTop w:val="0"/>
          <w:marBottom w:val="0"/>
          <w:divBdr>
            <w:top w:val="none" w:sz="0" w:space="0" w:color="auto"/>
            <w:left w:val="none" w:sz="0" w:space="0" w:color="auto"/>
            <w:bottom w:val="none" w:sz="0" w:space="0" w:color="auto"/>
            <w:right w:val="none" w:sz="0" w:space="0" w:color="auto"/>
          </w:divBdr>
        </w:div>
      </w:divsChild>
    </w:div>
    <w:div w:id="923414660">
      <w:bodyDiv w:val="1"/>
      <w:marLeft w:val="0"/>
      <w:marRight w:val="0"/>
      <w:marTop w:val="0"/>
      <w:marBottom w:val="0"/>
      <w:divBdr>
        <w:top w:val="none" w:sz="0" w:space="0" w:color="auto"/>
        <w:left w:val="none" w:sz="0" w:space="0" w:color="auto"/>
        <w:bottom w:val="none" w:sz="0" w:space="0" w:color="auto"/>
        <w:right w:val="none" w:sz="0" w:space="0" w:color="auto"/>
      </w:divBdr>
      <w:divsChild>
        <w:div w:id="1325665069">
          <w:marLeft w:val="0"/>
          <w:marRight w:val="0"/>
          <w:marTop w:val="0"/>
          <w:marBottom w:val="0"/>
          <w:divBdr>
            <w:top w:val="none" w:sz="0" w:space="0" w:color="auto"/>
            <w:left w:val="none" w:sz="0" w:space="0" w:color="auto"/>
            <w:bottom w:val="none" w:sz="0" w:space="0" w:color="auto"/>
            <w:right w:val="none" w:sz="0" w:space="0" w:color="auto"/>
          </w:divBdr>
        </w:div>
      </w:divsChild>
    </w:div>
    <w:div w:id="943148329">
      <w:bodyDiv w:val="1"/>
      <w:marLeft w:val="0"/>
      <w:marRight w:val="0"/>
      <w:marTop w:val="0"/>
      <w:marBottom w:val="0"/>
      <w:divBdr>
        <w:top w:val="none" w:sz="0" w:space="0" w:color="auto"/>
        <w:left w:val="none" w:sz="0" w:space="0" w:color="auto"/>
        <w:bottom w:val="none" w:sz="0" w:space="0" w:color="auto"/>
        <w:right w:val="none" w:sz="0" w:space="0" w:color="auto"/>
      </w:divBdr>
      <w:divsChild>
        <w:div w:id="322784132">
          <w:marLeft w:val="0"/>
          <w:marRight w:val="0"/>
          <w:marTop w:val="0"/>
          <w:marBottom w:val="0"/>
          <w:divBdr>
            <w:top w:val="none" w:sz="0" w:space="0" w:color="auto"/>
            <w:left w:val="none" w:sz="0" w:space="0" w:color="auto"/>
            <w:bottom w:val="none" w:sz="0" w:space="0" w:color="auto"/>
            <w:right w:val="none" w:sz="0" w:space="0" w:color="auto"/>
          </w:divBdr>
        </w:div>
      </w:divsChild>
    </w:div>
    <w:div w:id="947152777">
      <w:bodyDiv w:val="1"/>
      <w:marLeft w:val="0"/>
      <w:marRight w:val="0"/>
      <w:marTop w:val="0"/>
      <w:marBottom w:val="0"/>
      <w:divBdr>
        <w:top w:val="none" w:sz="0" w:space="0" w:color="auto"/>
        <w:left w:val="none" w:sz="0" w:space="0" w:color="auto"/>
        <w:bottom w:val="none" w:sz="0" w:space="0" w:color="auto"/>
        <w:right w:val="none" w:sz="0" w:space="0" w:color="auto"/>
      </w:divBdr>
      <w:divsChild>
        <w:div w:id="1164396927">
          <w:marLeft w:val="0"/>
          <w:marRight w:val="0"/>
          <w:marTop w:val="0"/>
          <w:marBottom w:val="0"/>
          <w:divBdr>
            <w:top w:val="none" w:sz="0" w:space="0" w:color="auto"/>
            <w:left w:val="none" w:sz="0" w:space="0" w:color="auto"/>
            <w:bottom w:val="none" w:sz="0" w:space="0" w:color="auto"/>
            <w:right w:val="none" w:sz="0" w:space="0" w:color="auto"/>
          </w:divBdr>
        </w:div>
      </w:divsChild>
    </w:div>
    <w:div w:id="949357581">
      <w:bodyDiv w:val="1"/>
      <w:marLeft w:val="0"/>
      <w:marRight w:val="0"/>
      <w:marTop w:val="0"/>
      <w:marBottom w:val="0"/>
      <w:divBdr>
        <w:top w:val="none" w:sz="0" w:space="0" w:color="auto"/>
        <w:left w:val="none" w:sz="0" w:space="0" w:color="auto"/>
        <w:bottom w:val="none" w:sz="0" w:space="0" w:color="auto"/>
        <w:right w:val="none" w:sz="0" w:space="0" w:color="auto"/>
      </w:divBdr>
      <w:divsChild>
        <w:div w:id="1765761643">
          <w:marLeft w:val="0"/>
          <w:marRight w:val="0"/>
          <w:marTop w:val="0"/>
          <w:marBottom w:val="0"/>
          <w:divBdr>
            <w:top w:val="none" w:sz="0" w:space="0" w:color="auto"/>
            <w:left w:val="none" w:sz="0" w:space="0" w:color="auto"/>
            <w:bottom w:val="none" w:sz="0" w:space="0" w:color="auto"/>
            <w:right w:val="none" w:sz="0" w:space="0" w:color="auto"/>
          </w:divBdr>
        </w:div>
      </w:divsChild>
    </w:div>
    <w:div w:id="949362967">
      <w:bodyDiv w:val="1"/>
      <w:marLeft w:val="0"/>
      <w:marRight w:val="0"/>
      <w:marTop w:val="0"/>
      <w:marBottom w:val="0"/>
      <w:divBdr>
        <w:top w:val="none" w:sz="0" w:space="0" w:color="auto"/>
        <w:left w:val="none" w:sz="0" w:space="0" w:color="auto"/>
        <w:bottom w:val="none" w:sz="0" w:space="0" w:color="auto"/>
        <w:right w:val="none" w:sz="0" w:space="0" w:color="auto"/>
      </w:divBdr>
      <w:divsChild>
        <w:div w:id="1125735885">
          <w:marLeft w:val="0"/>
          <w:marRight w:val="0"/>
          <w:marTop w:val="0"/>
          <w:marBottom w:val="0"/>
          <w:divBdr>
            <w:top w:val="none" w:sz="0" w:space="0" w:color="auto"/>
            <w:left w:val="none" w:sz="0" w:space="0" w:color="auto"/>
            <w:bottom w:val="none" w:sz="0" w:space="0" w:color="auto"/>
            <w:right w:val="none" w:sz="0" w:space="0" w:color="auto"/>
          </w:divBdr>
        </w:div>
      </w:divsChild>
    </w:div>
    <w:div w:id="963342275">
      <w:bodyDiv w:val="1"/>
      <w:marLeft w:val="0"/>
      <w:marRight w:val="0"/>
      <w:marTop w:val="0"/>
      <w:marBottom w:val="0"/>
      <w:divBdr>
        <w:top w:val="none" w:sz="0" w:space="0" w:color="auto"/>
        <w:left w:val="none" w:sz="0" w:space="0" w:color="auto"/>
        <w:bottom w:val="none" w:sz="0" w:space="0" w:color="auto"/>
        <w:right w:val="none" w:sz="0" w:space="0" w:color="auto"/>
      </w:divBdr>
      <w:divsChild>
        <w:div w:id="1680817675">
          <w:marLeft w:val="0"/>
          <w:marRight w:val="0"/>
          <w:marTop w:val="0"/>
          <w:marBottom w:val="0"/>
          <w:divBdr>
            <w:top w:val="none" w:sz="0" w:space="0" w:color="auto"/>
            <w:left w:val="none" w:sz="0" w:space="0" w:color="auto"/>
            <w:bottom w:val="none" w:sz="0" w:space="0" w:color="auto"/>
            <w:right w:val="none" w:sz="0" w:space="0" w:color="auto"/>
          </w:divBdr>
        </w:div>
      </w:divsChild>
    </w:div>
    <w:div w:id="982778272">
      <w:bodyDiv w:val="1"/>
      <w:marLeft w:val="0"/>
      <w:marRight w:val="0"/>
      <w:marTop w:val="0"/>
      <w:marBottom w:val="0"/>
      <w:divBdr>
        <w:top w:val="none" w:sz="0" w:space="0" w:color="auto"/>
        <w:left w:val="none" w:sz="0" w:space="0" w:color="auto"/>
        <w:bottom w:val="none" w:sz="0" w:space="0" w:color="auto"/>
        <w:right w:val="none" w:sz="0" w:space="0" w:color="auto"/>
      </w:divBdr>
      <w:divsChild>
        <w:div w:id="2113935029">
          <w:marLeft w:val="0"/>
          <w:marRight w:val="0"/>
          <w:marTop w:val="0"/>
          <w:marBottom w:val="0"/>
          <w:divBdr>
            <w:top w:val="none" w:sz="0" w:space="0" w:color="auto"/>
            <w:left w:val="none" w:sz="0" w:space="0" w:color="auto"/>
            <w:bottom w:val="none" w:sz="0" w:space="0" w:color="auto"/>
            <w:right w:val="none" w:sz="0" w:space="0" w:color="auto"/>
          </w:divBdr>
        </w:div>
      </w:divsChild>
    </w:div>
    <w:div w:id="998535039">
      <w:bodyDiv w:val="1"/>
      <w:marLeft w:val="0"/>
      <w:marRight w:val="0"/>
      <w:marTop w:val="0"/>
      <w:marBottom w:val="0"/>
      <w:divBdr>
        <w:top w:val="none" w:sz="0" w:space="0" w:color="auto"/>
        <w:left w:val="none" w:sz="0" w:space="0" w:color="auto"/>
        <w:bottom w:val="none" w:sz="0" w:space="0" w:color="auto"/>
        <w:right w:val="none" w:sz="0" w:space="0" w:color="auto"/>
      </w:divBdr>
      <w:divsChild>
        <w:div w:id="664628150">
          <w:marLeft w:val="0"/>
          <w:marRight w:val="0"/>
          <w:marTop w:val="0"/>
          <w:marBottom w:val="0"/>
          <w:divBdr>
            <w:top w:val="none" w:sz="0" w:space="0" w:color="auto"/>
            <w:left w:val="none" w:sz="0" w:space="0" w:color="auto"/>
            <w:bottom w:val="none" w:sz="0" w:space="0" w:color="auto"/>
            <w:right w:val="none" w:sz="0" w:space="0" w:color="auto"/>
          </w:divBdr>
        </w:div>
      </w:divsChild>
    </w:div>
    <w:div w:id="1016345876">
      <w:bodyDiv w:val="1"/>
      <w:marLeft w:val="0"/>
      <w:marRight w:val="0"/>
      <w:marTop w:val="0"/>
      <w:marBottom w:val="0"/>
      <w:divBdr>
        <w:top w:val="none" w:sz="0" w:space="0" w:color="auto"/>
        <w:left w:val="none" w:sz="0" w:space="0" w:color="auto"/>
        <w:bottom w:val="none" w:sz="0" w:space="0" w:color="auto"/>
        <w:right w:val="none" w:sz="0" w:space="0" w:color="auto"/>
      </w:divBdr>
      <w:divsChild>
        <w:div w:id="1257978001">
          <w:marLeft w:val="0"/>
          <w:marRight w:val="0"/>
          <w:marTop w:val="0"/>
          <w:marBottom w:val="0"/>
          <w:divBdr>
            <w:top w:val="none" w:sz="0" w:space="0" w:color="auto"/>
            <w:left w:val="none" w:sz="0" w:space="0" w:color="auto"/>
            <w:bottom w:val="none" w:sz="0" w:space="0" w:color="auto"/>
            <w:right w:val="none" w:sz="0" w:space="0" w:color="auto"/>
          </w:divBdr>
        </w:div>
      </w:divsChild>
    </w:div>
    <w:div w:id="1029796117">
      <w:bodyDiv w:val="1"/>
      <w:marLeft w:val="0"/>
      <w:marRight w:val="0"/>
      <w:marTop w:val="0"/>
      <w:marBottom w:val="0"/>
      <w:divBdr>
        <w:top w:val="none" w:sz="0" w:space="0" w:color="auto"/>
        <w:left w:val="none" w:sz="0" w:space="0" w:color="auto"/>
        <w:bottom w:val="none" w:sz="0" w:space="0" w:color="auto"/>
        <w:right w:val="none" w:sz="0" w:space="0" w:color="auto"/>
      </w:divBdr>
    </w:div>
    <w:div w:id="1047798012">
      <w:bodyDiv w:val="1"/>
      <w:marLeft w:val="0"/>
      <w:marRight w:val="0"/>
      <w:marTop w:val="0"/>
      <w:marBottom w:val="0"/>
      <w:divBdr>
        <w:top w:val="none" w:sz="0" w:space="0" w:color="auto"/>
        <w:left w:val="none" w:sz="0" w:space="0" w:color="auto"/>
        <w:bottom w:val="none" w:sz="0" w:space="0" w:color="auto"/>
        <w:right w:val="none" w:sz="0" w:space="0" w:color="auto"/>
      </w:divBdr>
      <w:divsChild>
        <w:div w:id="2049184614">
          <w:marLeft w:val="0"/>
          <w:marRight w:val="0"/>
          <w:marTop w:val="0"/>
          <w:marBottom w:val="0"/>
          <w:divBdr>
            <w:top w:val="none" w:sz="0" w:space="0" w:color="auto"/>
            <w:left w:val="none" w:sz="0" w:space="0" w:color="auto"/>
            <w:bottom w:val="none" w:sz="0" w:space="0" w:color="auto"/>
            <w:right w:val="none" w:sz="0" w:space="0" w:color="auto"/>
          </w:divBdr>
        </w:div>
      </w:divsChild>
    </w:div>
    <w:div w:id="1048726375">
      <w:bodyDiv w:val="1"/>
      <w:marLeft w:val="0"/>
      <w:marRight w:val="0"/>
      <w:marTop w:val="0"/>
      <w:marBottom w:val="0"/>
      <w:divBdr>
        <w:top w:val="none" w:sz="0" w:space="0" w:color="auto"/>
        <w:left w:val="none" w:sz="0" w:space="0" w:color="auto"/>
        <w:bottom w:val="none" w:sz="0" w:space="0" w:color="auto"/>
        <w:right w:val="none" w:sz="0" w:space="0" w:color="auto"/>
      </w:divBdr>
      <w:divsChild>
        <w:div w:id="1397779011">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708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193">
      <w:bodyDiv w:val="1"/>
      <w:marLeft w:val="0"/>
      <w:marRight w:val="0"/>
      <w:marTop w:val="0"/>
      <w:marBottom w:val="0"/>
      <w:divBdr>
        <w:top w:val="none" w:sz="0" w:space="0" w:color="auto"/>
        <w:left w:val="none" w:sz="0" w:space="0" w:color="auto"/>
        <w:bottom w:val="none" w:sz="0" w:space="0" w:color="auto"/>
        <w:right w:val="none" w:sz="0" w:space="0" w:color="auto"/>
      </w:divBdr>
      <w:divsChild>
        <w:div w:id="1227497266">
          <w:marLeft w:val="0"/>
          <w:marRight w:val="0"/>
          <w:marTop w:val="0"/>
          <w:marBottom w:val="0"/>
          <w:divBdr>
            <w:top w:val="none" w:sz="0" w:space="0" w:color="auto"/>
            <w:left w:val="none" w:sz="0" w:space="0" w:color="auto"/>
            <w:bottom w:val="none" w:sz="0" w:space="0" w:color="auto"/>
            <w:right w:val="none" w:sz="0" w:space="0" w:color="auto"/>
          </w:divBdr>
        </w:div>
      </w:divsChild>
    </w:div>
    <w:div w:id="1073552419">
      <w:bodyDiv w:val="1"/>
      <w:marLeft w:val="0"/>
      <w:marRight w:val="0"/>
      <w:marTop w:val="0"/>
      <w:marBottom w:val="0"/>
      <w:divBdr>
        <w:top w:val="none" w:sz="0" w:space="0" w:color="auto"/>
        <w:left w:val="none" w:sz="0" w:space="0" w:color="auto"/>
        <w:bottom w:val="none" w:sz="0" w:space="0" w:color="auto"/>
        <w:right w:val="none" w:sz="0" w:space="0" w:color="auto"/>
      </w:divBdr>
      <w:divsChild>
        <w:div w:id="692925739">
          <w:marLeft w:val="0"/>
          <w:marRight w:val="0"/>
          <w:marTop w:val="0"/>
          <w:marBottom w:val="0"/>
          <w:divBdr>
            <w:top w:val="none" w:sz="0" w:space="0" w:color="auto"/>
            <w:left w:val="none" w:sz="0" w:space="0" w:color="auto"/>
            <w:bottom w:val="none" w:sz="0" w:space="0" w:color="auto"/>
            <w:right w:val="none" w:sz="0" w:space="0" w:color="auto"/>
          </w:divBdr>
        </w:div>
      </w:divsChild>
    </w:div>
    <w:div w:id="1077049815">
      <w:bodyDiv w:val="1"/>
      <w:marLeft w:val="0"/>
      <w:marRight w:val="0"/>
      <w:marTop w:val="0"/>
      <w:marBottom w:val="0"/>
      <w:divBdr>
        <w:top w:val="none" w:sz="0" w:space="0" w:color="auto"/>
        <w:left w:val="none" w:sz="0" w:space="0" w:color="auto"/>
        <w:bottom w:val="none" w:sz="0" w:space="0" w:color="auto"/>
        <w:right w:val="none" w:sz="0" w:space="0" w:color="auto"/>
      </w:divBdr>
      <w:divsChild>
        <w:div w:id="412749319">
          <w:marLeft w:val="0"/>
          <w:marRight w:val="0"/>
          <w:marTop w:val="0"/>
          <w:marBottom w:val="0"/>
          <w:divBdr>
            <w:top w:val="none" w:sz="0" w:space="0" w:color="auto"/>
            <w:left w:val="none" w:sz="0" w:space="0" w:color="auto"/>
            <w:bottom w:val="none" w:sz="0" w:space="0" w:color="auto"/>
            <w:right w:val="none" w:sz="0" w:space="0" w:color="auto"/>
          </w:divBdr>
        </w:div>
      </w:divsChild>
    </w:div>
    <w:div w:id="1103300588">
      <w:bodyDiv w:val="1"/>
      <w:marLeft w:val="0"/>
      <w:marRight w:val="0"/>
      <w:marTop w:val="0"/>
      <w:marBottom w:val="0"/>
      <w:divBdr>
        <w:top w:val="none" w:sz="0" w:space="0" w:color="auto"/>
        <w:left w:val="none" w:sz="0" w:space="0" w:color="auto"/>
        <w:bottom w:val="none" w:sz="0" w:space="0" w:color="auto"/>
        <w:right w:val="none" w:sz="0" w:space="0" w:color="auto"/>
      </w:divBdr>
      <w:divsChild>
        <w:div w:id="730226389">
          <w:marLeft w:val="0"/>
          <w:marRight w:val="0"/>
          <w:marTop w:val="0"/>
          <w:marBottom w:val="0"/>
          <w:divBdr>
            <w:top w:val="none" w:sz="0" w:space="0" w:color="auto"/>
            <w:left w:val="none" w:sz="0" w:space="0" w:color="auto"/>
            <w:bottom w:val="none" w:sz="0" w:space="0" w:color="auto"/>
            <w:right w:val="none" w:sz="0" w:space="0" w:color="auto"/>
          </w:divBdr>
        </w:div>
      </w:divsChild>
    </w:div>
    <w:div w:id="1109281097">
      <w:bodyDiv w:val="1"/>
      <w:marLeft w:val="0"/>
      <w:marRight w:val="0"/>
      <w:marTop w:val="0"/>
      <w:marBottom w:val="0"/>
      <w:divBdr>
        <w:top w:val="none" w:sz="0" w:space="0" w:color="auto"/>
        <w:left w:val="none" w:sz="0" w:space="0" w:color="auto"/>
        <w:bottom w:val="none" w:sz="0" w:space="0" w:color="auto"/>
        <w:right w:val="none" w:sz="0" w:space="0" w:color="auto"/>
      </w:divBdr>
    </w:div>
    <w:div w:id="1120148697">
      <w:bodyDiv w:val="1"/>
      <w:marLeft w:val="0"/>
      <w:marRight w:val="0"/>
      <w:marTop w:val="0"/>
      <w:marBottom w:val="0"/>
      <w:divBdr>
        <w:top w:val="none" w:sz="0" w:space="0" w:color="auto"/>
        <w:left w:val="none" w:sz="0" w:space="0" w:color="auto"/>
        <w:bottom w:val="none" w:sz="0" w:space="0" w:color="auto"/>
        <w:right w:val="none" w:sz="0" w:space="0" w:color="auto"/>
      </w:divBdr>
      <w:divsChild>
        <w:div w:id="1196578704">
          <w:marLeft w:val="0"/>
          <w:marRight w:val="0"/>
          <w:marTop w:val="0"/>
          <w:marBottom w:val="0"/>
          <w:divBdr>
            <w:top w:val="none" w:sz="0" w:space="0" w:color="auto"/>
            <w:left w:val="none" w:sz="0" w:space="0" w:color="auto"/>
            <w:bottom w:val="none" w:sz="0" w:space="0" w:color="auto"/>
            <w:right w:val="none" w:sz="0" w:space="0" w:color="auto"/>
          </w:divBdr>
        </w:div>
      </w:divsChild>
    </w:div>
    <w:div w:id="1147088770">
      <w:bodyDiv w:val="1"/>
      <w:marLeft w:val="0"/>
      <w:marRight w:val="0"/>
      <w:marTop w:val="0"/>
      <w:marBottom w:val="0"/>
      <w:divBdr>
        <w:top w:val="none" w:sz="0" w:space="0" w:color="auto"/>
        <w:left w:val="none" w:sz="0" w:space="0" w:color="auto"/>
        <w:bottom w:val="none" w:sz="0" w:space="0" w:color="auto"/>
        <w:right w:val="none" w:sz="0" w:space="0" w:color="auto"/>
      </w:divBdr>
      <w:divsChild>
        <w:div w:id="1624188012">
          <w:marLeft w:val="0"/>
          <w:marRight w:val="0"/>
          <w:marTop w:val="0"/>
          <w:marBottom w:val="0"/>
          <w:divBdr>
            <w:top w:val="none" w:sz="0" w:space="0" w:color="auto"/>
            <w:left w:val="none" w:sz="0" w:space="0" w:color="auto"/>
            <w:bottom w:val="none" w:sz="0" w:space="0" w:color="auto"/>
            <w:right w:val="none" w:sz="0" w:space="0" w:color="auto"/>
          </w:divBdr>
        </w:div>
      </w:divsChild>
    </w:div>
    <w:div w:id="1149831327">
      <w:bodyDiv w:val="1"/>
      <w:marLeft w:val="0"/>
      <w:marRight w:val="0"/>
      <w:marTop w:val="0"/>
      <w:marBottom w:val="0"/>
      <w:divBdr>
        <w:top w:val="none" w:sz="0" w:space="0" w:color="auto"/>
        <w:left w:val="none" w:sz="0" w:space="0" w:color="auto"/>
        <w:bottom w:val="none" w:sz="0" w:space="0" w:color="auto"/>
        <w:right w:val="none" w:sz="0" w:space="0" w:color="auto"/>
      </w:divBdr>
      <w:divsChild>
        <w:div w:id="2035424680">
          <w:marLeft w:val="0"/>
          <w:marRight w:val="0"/>
          <w:marTop w:val="0"/>
          <w:marBottom w:val="0"/>
          <w:divBdr>
            <w:top w:val="none" w:sz="0" w:space="0" w:color="auto"/>
            <w:left w:val="none" w:sz="0" w:space="0" w:color="auto"/>
            <w:bottom w:val="none" w:sz="0" w:space="0" w:color="auto"/>
            <w:right w:val="none" w:sz="0" w:space="0" w:color="auto"/>
          </w:divBdr>
        </w:div>
      </w:divsChild>
    </w:div>
    <w:div w:id="1190607876">
      <w:bodyDiv w:val="1"/>
      <w:marLeft w:val="0"/>
      <w:marRight w:val="0"/>
      <w:marTop w:val="0"/>
      <w:marBottom w:val="0"/>
      <w:divBdr>
        <w:top w:val="none" w:sz="0" w:space="0" w:color="auto"/>
        <w:left w:val="none" w:sz="0" w:space="0" w:color="auto"/>
        <w:bottom w:val="none" w:sz="0" w:space="0" w:color="auto"/>
        <w:right w:val="none" w:sz="0" w:space="0" w:color="auto"/>
      </w:divBdr>
    </w:div>
    <w:div w:id="1194154700">
      <w:bodyDiv w:val="1"/>
      <w:marLeft w:val="0"/>
      <w:marRight w:val="0"/>
      <w:marTop w:val="0"/>
      <w:marBottom w:val="0"/>
      <w:divBdr>
        <w:top w:val="none" w:sz="0" w:space="0" w:color="auto"/>
        <w:left w:val="none" w:sz="0" w:space="0" w:color="auto"/>
        <w:bottom w:val="none" w:sz="0" w:space="0" w:color="auto"/>
        <w:right w:val="none" w:sz="0" w:space="0" w:color="auto"/>
      </w:divBdr>
    </w:div>
    <w:div w:id="1195771031">
      <w:bodyDiv w:val="1"/>
      <w:marLeft w:val="0"/>
      <w:marRight w:val="0"/>
      <w:marTop w:val="0"/>
      <w:marBottom w:val="0"/>
      <w:divBdr>
        <w:top w:val="none" w:sz="0" w:space="0" w:color="auto"/>
        <w:left w:val="none" w:sz="0" w:space="0" w:color="auto"/>
        <w:bottom w:val="none" w:sz="0" w:space="0" w:color="auto"/>
        <w:right w:val="none" w:sz="0" w:space="0" w:color="auto"/>
      </w:divBdr>
      <w:divsChild>
        <w:div w:id="1941985978">
          <w:marLeft w:val="0"/>
          <w:marRight w:val="0"/>
          <w:marTop w:val="0"/>
          <w:marBottom w:val="0"/>
          <w:divBdr>
            <w:top w:val="none" w:sz="0" w:space="0" w:color="auto"/>
            <w:left w:val="none" w:sz="0" w:space="0" w:color="auto"/>
            <w:bottom w:val="none" w:sz="0" w:space="0" w:color="auto"/>
            <w:right w:val="none" w:sz="0" w:space="0" w:color="auto"/>
          </w:divBdr>
        </w:div>
      </w:divsChild>
    </w:div>
    <w:div w:id="1207332618">
      <w:bodyDiv w:val="1"/>
      <w:marLeft w:val="0"/>
      <w:marRight w:val="0"/>
      <w:marTop w:val="0"/>
      <w:marBottom w:val="0"/>
      <w:divBdr>
        <w:top w:val="none" w:sz="0" w:space="0" w:color="auto"/>
        <w:left w:val="none" w:sz="0" w:space="0" w:color="auto"/>
        <w:bottom w:val="none" w:sz="0" w:space="0" w:color="auto"/>
        <w:right w:val="none" w:sz="0" w:space="0" w:color="auto"/>
      </w:divBdr>
      <w:divsChild>
        <w:div w:id="936794760">
          <w:marLeft w:val="0"/>
          <w:marRight w:val="0"/>
          <w:marTop w:val="0"/>
          <w:marBottom w:val="0"/>
          <w:divBdr>
            <w:top w:val="none" w:sz="0" w:space="0" w:color="auto"/>
            <w:left w:val="none" w:sz="0" w:space="0" w:color="auto"/>
            <w:bottom w:val="none" w:sz="0" w:space="0" w:color="auto"/>
            <w:right w:val="none" w:sz="0" w:space="0" w:color="auto"/>
          </w:divBdr>
        </w:div>
      </w:divsChild>
    </w:div>
    <w:div w:id="1219514382">
      <w:bodyDiv w:val="1"/>
      <w:marLeft w:val="0"/>
      <w:marRight w:val="0"/>
      <w:marTop w:val="0"/>
      <w:marBottom w:val="0"/>
      <w:divBdr>
        <w:top w:val="none" w:sz="0" w:space="0" w:color="auto"/>
        <w:left w:val="none" w:sz="0" w:space="0" w:color="auto"/>
        <w:bottom w:val="none" w:sz="0" w:space="0" w:color="auto"/>
        <w:right w:val="none" w:sz="0" w:space="0" w:color="auto"/>
      </w:divBdr>
      <w:divsChild>
        <w:div w:id="655839977">
          <w:marLeft w:val="0"/>
          <w:marRight w:val="0"/>
          <w:marTop w:val="0"/>
          <w:marBottom w:val="0"/>
          <w:divBdr>
            <w:top w:val="none" w:sz="0" w:space="0" w:color="auto"/>
            <w:left w:val="none" w:sz="0" w:space="0" w:color="auto"/>
            <w:bottom w:val="none" w:sz="0" w:space="0" w:color="auto"/>
            <w:right w:val="none" w:sz="0" w:space="0" w:color="auto"/>
          </w:divBdr>
        </w:div>
      </w:divsChild>
    </w:div>
    <w:div w:id="1255747690">
      <w:bodyDiv w:val="1"/>
      <w:marLeft w:val="0"/>
      <w:marRight w:val="0"/>
      <w:marTop w:val="0"/>
      <w:marBottom w:val="0"/>
      <w:divBdr>
        <w:top w:val="none" w:sz="0" w:space="0" w:color="auto"/>
        <w:left w:val="none" w:sz="0" w:space="0" w:color="auto"/>
        <w:bottom w:val="none" w:sz="0" w:space="0" w:color="auto"/>
        <w:right w:val="none" w:sz="0" w:space="0" w:color="auto"/>
      </w:divBdr>
      <w:divsChild>
        <w:div w:id="786971190">
          <w:marLeft w:val="0"/>
          <w:marRight w:val="0"/>
          <w:marTop w:val="0"/>
          <w:marBottom w:val="0"/>
          <w:divBdr>
            <w:top w:val="none" w:sz="0" w:space="0" w:color="auto"/>
            <w:left w:val="none" w:sz="0" w:space="0" w:color="auto"/>
            <w:bottom w:val="none" w:sz="0" w:space="0" w:color="auto"/>
            <w:right w:val="none" w:sz="0" w:space="0" w:color="auto"/>
          </w:divBdr>
        </w:div>
      </w:divsChild>
    </w:div>
    <w:div w:id="1274676730">
      <w:bodyDiv w:val="1"/>
      <w:marLeft w:val="0"/>
      <w:marRight w:val="0"/>
      <w:marTop w:val="0"/>
      <w:marBottom w:val="0"/>
      <w:divBdr>
        <w:top w:val="none" w:sz="0" w:space="0" w:color="auto"/>
        <w:left w:val="none" w:sz="0" w:space="0" w:color="auto"/>
        <w:bottom w:val="none" w:sz="0" w:space="0" w:color="auto"/>
        <w:right w:val="none" w:sz="0" w:space="0" w:color="auto"/>
      </w:divBdr>
    </w:div>
    <w:div w:id="1276210116">
      <w:bodyDiv w:val="1"/>
      <w:marLeft w:val="0"/>
      <w:marRight w:val="0"/>
      <w:marTop w:val="0"/>
      <w:marBottom w:val="0"/>
      <w:divBdr>
        <w:top w:val="none" w:sz="0" w:space="0" w:color="auto"/>
        <w:left w:val="none" w:sz="0" w:space="0" w:color="auto"/>
        <w:bottom w:val="none" w:sz="0" w:space="0" w:color="auto"/>
        <w:right w:val="none" w:sz="0" w:space="0" w:color="auto"/>
      </w:divBdr>
    </w:div>
    <w:div w:id="1295135299">
      <w:bodyDiv w:val="1"/>
      <w:marLeft w:val="0"/>
      <w:marRight w:val="0"/>
      <w:marTop w:val="0"/>
      <w:marBottom w:val="0"/>
      <w:divBdr>
        <w:top w:val="none" w:sz="0" w:space="0" w:color="auto"/>
        <w:left w:val="none" w:sz="0" w:space="0" w:color="auto"/>
        <w:bottom w:val="none" w:sz="0" w:space="0" w:color="auto"/>
        <w:right w:val="none" w:sz="0" w:space="0" w:color="auto"/>
      </w:divBdr>
      <w:divsChild>
        <w:div w:id="193157759">
          <w:marLeft w:val="0"/>
          <w:marRight w:val="0"/>
          <w:marTop w:val="0"/>
          <w:marBottom w:val="0"/>
          <w:divBdr>
            <w:top w:val="none" w:sz="0" w:space="0" w:color="auto"/>
            <w:left w:val="none" w:sz="0" w:space="0" w:color="auto"/>
            <w:bottom w:val="none" w:sz="0" w:space="0" w:color="auto"/>
            <w:right w:val="none" w:sz="0" w:space="0" w:color="auto"/>
          </w:divBdr>
        </w:div>
      </w:divsChild>
    </w:div>
    <w:div w:id="1296372362">
      <w:bodyDiv w:val="1"/>
      <w:marLeft w:val="0"/>
      <w:marRight w:val="0"/>
      <w:marTop w:val="0"/>
      <w:marBottom w:val="0"/>
      <w:divBdr>
        <w:top w:val="none" w:sz="0" w:space="0" w:color="auto"/>
        <w:left w:val="none" w:sz="0" w:space="0" w:color="auto"/>
        <w:bottom w:val="none" w:sz="0" w:space="0" w:color="auto"/>
        <w:right w:val="none" w:sz="0" w:space="0" w:color="auto"/>
      </w:divBdr>
    </w:div>
    <w:div w:id="1296444833">
      <w:bodyDiv w:val="1"/>
      <w:marLeft w:val="0"/>
      <w:marRight w:val="0"/>
      <w:marTop w:val="0"/>
      <w:marBottom w:val="0"/>
      <w:divBdr>
        <w:top w:val="none" w:sz="0" w:space="0" w:color="auto"/>
        <w:left w:val="none" w:sz="0" w:space="0" w:color="auto"/>
        <w:bottom w:val="none" w:sz="0" w:space="0" w:color="auto"/>
        <w:right w:val="none" w:sz="0" w:space="0" w:color="auto"/>
      </w:divBdr>
    </w:div>
    <w:div w:id="1298341171">
      <w:bodyDiv w:val="1"/>
      <w:marLeft w:val="0"/>
      <w:marRight w:val="0"/>
      <w:marTop w:val="0"/>
      <w:marBottom w:val="0"/>
      <w:divBdr>
        <w:top w:val="none" w:sz="0" w:space="0" w:color="auto"/>
        <w:left w:val="none" w:sz="0" w:space="0" w:color="auto"/>
        <w:bottom w:val="none" w:sz="0" w:space="0" w:color="auto"/>
        <w:right w:val="none" w:sz="0" w:space="0" w:color="auto"/>
      </w:divBdr>
      <w:divsChild>
        <w:div w:id="1735859561">
          <w:marLeft w:val="0"/>
          <w:marRight w:val="0"/>
          <w:marTop w:val="0"/>
          <w:marBottom w:val="0"/>
          <w:divBdr>
            <w:top w:val="none" w:sz="0" w:space="0" w:color="auto"/>
            <w:left w:val="none" w:sz="0" w:space="0" w:color="auto"/>
            <w:bottom w:val="none" w:sz="0" w:space="0" w:color="auto"/>
            <w:right w:val="none" w:sz="0" w:space="0" w:color="auto"/>
          </w:divBdr>
        </w:div>
      </w:divsChild>
    </w:div>
    <w:div w:id="1333723971">
      <w:bodyDiv w:val="1"/>
      <w:marLeft w:val="0"/>
      <w:marRight w:val="0"/>
      <w:marTop w:val="0"/>
      <w:marBottom w:val="0"/>
      <w:divBdr>
        <w:top w:val="none" w:sz="0" w:space="0" w:color="auto"/>
        <w:left w:val="none" w:sz="0" w:space="0" w:color="auto"/>
        <w:bottom w:val="none" w:sz="0" w:space="0" w:color="auto"/>
        <w:right w:val="none" w:sz="0" w:space="0" w:color="auto"/>
      </w:divBdr>
      <w:divsChild>
        <w:div w:id="948506607">
          <w:marLeft w:val="0"/>
          <w:marRight w:val="0"/>
          <w:marTop w:val="0"/>
          <w:marBottom w:val="0"/>
          <w:divBdr>
            <w:top w:val="none" w:sz="0" w:space="0" w:color="auto"/>
            <w:left w:val="none" w:sz="0" w:space="0" w:color="auto"/>
            <w:bottom w:val="none" w:sz="0" w:space="0" w:color="auto"/>
            <w:right w:val="none" w:sz="0" w:space="0" w:color="auto"/>
          </w:divBdr>
        </w:div>
      </w:divsChild>
    </w:div>
    <w:div w:id="1339502824">
      <w:bodyDiv w:val="1"/>
      <w:marLeft w:val="0"/>
      <w:marRight w:val="0"/>
      <w:marTop w:val="0"/>
      <w:marBottom w:val="0"/>
      <w:divBdr>
        <w:top w:val="none" w:sz="0" w:space="0" w:color="auto"/>
        <w:left w:val="none" w:sz="0" w:space="0" w:color="auto"/>
        <w:bottom w:val="none" w:sz="0" w:space="0" w:color="auto"/>
        <w:right w:val="none" w:sz="0" w:space="0" w:color="auto"/>
      </w:divBdr>
      <w:divsChild>
        <w:div w:id="36054110">
          <w:marLeft w:val="0"/>
          <w:marRight w:val="0"/>
          <w:marTop w:val="0"/>
          <w:marBottom w:val="0"/>
          <w:divBdr>
            <w:top w:val="none" w:sz="0" w:space="0" w:color="auto"/>
            <w:left w:val="none" w:sz="0" w:space="0" w:color="auto"/>
            <w:bottom w:val="none" w:sz="0" w:space="0" w:color="auto"/>
            <w:right w:val="none" w:sz="0" w:space="0" w:color="auto"/>
          </w:divBdr>
        </w:div>
      </w:divsChild>
    </w:div>
    <w:div w:id="1341545489">
      <w:bodyDiv w:val="1"/>
      <w:marLeft w:val="0"/>
      <w:marRight w:val="0"/>
      <w:marTop w:val="0"/>
      <w:marBottom w:val="0"/>
      <w:divBdr>
        <w:top w:val="none" w:sz="0" w:space="0" w:color="auto"/>
        <w:left w:val="none" w:sz="0" w:space="0" w:color="auto"/>
        <w:bottom w:val="none" w:sz="0" w:space="0" w:color="auto"/>
        <w:right w:val="none" w:sz="0" w:space="0" w:color="auto"/>
      </w:divBdr>
    </w:div>
    <w:div w:id="1345783917">
      <w:bodyDiv w:val="1"/>
      <w:marLeft w:val="0"/>
      <w:marRight w:val="0"/>
      <w:marTop w:val="0"/>
      <w:marBottom w:val="0"/>
      <w:divBdr>
        <w:top w:val="none" w:sz="0" w:space="0" w:color="auto"/>
        <w:left w:val="none" w:sz="0" w:space="0" w:color="auto"/>
        <w:bottom w:val="none" w:sz="0" w:space="0" w:color="auto"/>
        <w:right w:val="none" w:sz="0" w:space="0" w:color="auto"/>
      </w:divBdr>
    </w:div>
    <w:div w:id="1391270299">
      <w:bodyDiv w:val="1"/>
      <w:marLeft w:val="0"/>
      <w:marRight w:val="0"/>
      <w:marTop w:val="0"/>
      <w:marBottom w:val="0"/>
      <w:divBdr>
        <w:top w:val="none" w:sz="0" w:space="0" w:color="auto"/>
        <w:left w:val="none" w:sz="0" w:space="0" w:color="auto"/>
        <w:bottom w:val="none" w:sz="0" w:space="0" w:color="auto"/>
        <w:right w:val="none" w:sz="0" w:space="0" w:color="auto"/>
      </w:divBdr>
    </w:div>
    <w:div w:id="1408042133">
      <w:bodyDiv w:val="1"/>
      <w:marLeft w:val="0"/>
      <w:marRight w:val="0"/>
      <w:marTop w:val="0"/>
      <w:marBottom w:val="0"/>
      <w:divBdr>
        <w:top w:val="none" w:sz="0" w:space="0" w:color="auto"/>
        <w:left w:val="none" w:sz="0" w:space="0" w:color="auto"/>
        <w:bottom w:val="none" w:sz="0" w:space="0" w:color="auto"/>
        <w:right w:val="none" w:sz="0" w:space="0" w:color="auto"/>
      </w:divBdr>
      <w:divsChild>
        <w:div w:id="1234966855">
          <w:marLeft w:val="0"/>
          <w:marRight w:val="0"/>
          <w:marTop w:val="0"/>
          <w:marBottom w:val="0"/>
          <w:divBdr>
            <w:top w:val="none" w:sz="0" w:space="0" w:color="auto"/>
            <w:left w:val="none" w:sz="0" w:space="0" w:color="auto"/>
            <w:bottom w:val="none" w:sz="0" w:space="0" w:color="auto"/>
            <w:right w:val="none" w:sz="0" w:space="0" w:color="auto"/>
          </w:divBdr>
        </w:div>
      </w:divsChild>
    </w:div>
    <w:div w:id="1414471428">
      <w:bodyDiv w:val="1"/>
      <w:marLeft w:val="0"/>
      <w:marRight w:val="0"/>
      <w:marTop w:val="0"/>
      <w:marBottom w:val="0"/>
      <w:divBdr>
        <w:top w:val="none" w:sz="0" w:space="0" w:color="auto"/>
        <w:left w:val="none" w:sz="0" w:space="0" w:color="auto"/>
        <w:bottom w:val="none" w:sz="0" w:space="0" w:color="auto"/>
        <w:right w:val="none" w:sz="0" w:space="0" w:color="auto"/>
      </w:divBdr>
      <w:divsChild>
        <w:div w:id="1685083634">
          <w:marLeft w:val="0"/>
          <w:marRight w:val="0"/>
          <w:marTop w:val="0"/>
          <w:marBottom w:val="0"/>
          <w:divBdr>
            <w:top w:val="none" w:sz="0" w:space="0" w:color="auto"/>
            <w:left w:val="none" w:sz="0" w:space="0" w:color="auto"/>
            <w:bottom w:val="none" w:sz="0" w:space="0" w:color="auto"/>
            <w:right w:val="none" w:sz="0" w:space="0" w:color="auto"/>
          </w:divBdr>
        </w:div>
      </w:divsChild>
    </w:div>
    <w:div w:id="1417239967">
      <w:bodyDiv w:val="1"/>
      <w:marLeft w:val="0"/>
      <w:marRight w:val="0"/>
      <w:marTop w:val="0"/>
      <w:marBottom w:val="0"/>
      <w:divBdr>
        <w:top w:val="none" w:sz="0" w:space="0" w:color="auto"/>
        <w:left w:val="none" w:sz="0" w:space="0" w:color="auto"/>
        <w:bottom w:val="none" w:sz="0" w:space="0" w:color="auto"/>
        <w:right w:val="none" w:sz="0" w:space="0" w:color="auto"/>
      </w:divBdr>
    </w:div>
    <w:div w:id="1431045903">
      <w:bodyDiv w:val="1"/>
      <w:marLeft w:val="0"/>
      <w:marRight w:val="0"/>
      <w:marTop w:val="0"/>
      <w:marBottom w:val="0"/>
      <w:divBdr>
        <w:top w:val="none" w:sz="0" w:space="0" w:color="auto"/>
        <w:left w:val="none" w:sz="0" w:space="0" w:color="auto"/>
        <w:bottom w:val="none" w:sz="0" w:space="0" w:color="auto"/>
        <w:right w:val="none" w:sz="0" w:space="0" w:color="auto"/>
      </w:divBdr>
      <w:divsChild>
        <w:div w:id="65540233">
          <w:marLeft w:val="0"/>
          <w:marRight w:val="0"/>
          <w:marTop w:val="0"/>
          <w:marBottom w:val="0"/>
          <w:divBdr>
            <w:top w:val="none" w:sz="0" w:space="0" w:color="auto"/>
            <w:left w:val="none" w:sz="0" w:space="0" w:color="auto"/>
            <w:bottom w:val="none" w:sz="0" w:space="0" w:color="auto"/>
            <w:right w:val="none" w:sz="0" w:space="0" w:color="auto"/>
          </w:divBdr>
        </w:div>
      </w:divsChild>
    </w:div>
    <w:div w:id="1431702732">
      <w:bodyDiv w:val="1"/>
      <w:marLeft w:val="0"/>
      <w:marRight w:val="0"/>
      <w:marTop w:val="0"/>
      <w:marBottom w:val="0"/>
      <w:divBdr>
        <w:top w:val="none" w:sz="0" w:space="0" w:color="auto"/>
        <w:left w:val="none" w:sz="0" w:space="0" w:color="auto"/>
        <w:bottom w:val="none" w:sz="0" w:space="0" w:color="auto"/>
        <w:right w:val="none" w:sz="0" w:space="0" w:color="auto"/>
      </w:divBdr>
    </w:div>
    <w:div w:id="1440880153">
      <w:bodyDiv w:val="1"/>
      <w:marLeft w:val="0"/>
      <w:marRight w:val="0"/>
      <w:marTop w:val="0"/>
      <w:marBottom w:val="0"/>
      <w:divBdr>
        <w:top w:val="none" w:sz="0" w:space="0" w:color="auto"/>
        <w:left w:val="none" w:sz="0" w:space="0" w:color="auto"/>
        <w:bottom w:val="none" w:sz="0" w:space="0" w:color="auto"/>
        <w:right w:val="none" w:sz="0" w:space="0" w:color="auto"/>
      </w:divBdr>
      <w:divsChild>
        <w:div w:id="965506862">
          <w:marLeft w:val="0"/>
          <w:marRight w:val="0"/>
          <w:marTop w:val="0"/>
          <w:marBottom w:val="0"/>
          <w:divBdr>
            <w:top w:val="none" w:sz="0" w:space="0" w:color="auto"/>
            <w:left w:val="none" w:sz="0" w:space="0" w:color="auto"/>
            <w:bottom w:val="none" w:sz="0" w:space="0" w:color="auto"/>
            <w:right w:val="none" w:sz="0" w:space="0" w:color="auto"/>
          </w:divBdr>
        </w:div>
      </w:divsChild>
    </w:div>
    <w:div w:id="1448891536">
      <w:bodyDiv w:val="1"/>
      <w:marLeft w:val="0"/>
      <w:marRight w:val="0"/>
      <w:marTop w:val="0"/>
      <w:marBottom w:val="0"/>
      <w:divBdr>
        <w:top w:val="none" w:sz="0" w:space="0" w:color="auto"/>
        <w:left w:val="none" w:sz="0" w:space="0" w:color="auto"/>
        <w:bottom w:val="none" w:sz="0" w:space="0" w:color="auto"/>
        <w:right w:val="none" w:sz="0" w:space="0" w:color="auto"/>
      </w:divBdr>
      <w:divsChild>
        <w:div w:id="1334142932">
          <w:marLeft w:val="0"/>
          <w:marRight w:val="0"/>
          <w:marTop w:val="0"/>
          <w:marBottom w:val="0"/>
          <w:divBdr>
            <w:top w:val="none" w:sz="0" w:space="0" w:color="auto"/>
            <w:left w:val="none" w:sz="0" w:space="0" w:color="auto"/>
            <w:bottom w:val="none" w:sz="0" w:space="0" w:color="auto"/>
            <w:right w:val="none" w:sz="0" w:space="0" w:color="auto"/>
          </w:divBdr>
        </w:div>
      </w:divsChild>
    </w:div>
    <w:div w:id="1456486505">
      <w:bodyDiv w:val="1"/>
      <w:marLeft w:val="0"/>
      <w:marRight w:val="0"/>
      <w:marTop w:val="0"/>
      <w:marBottom w:val="0"/>
      <w:divBdr>
        <w:top w:val="none" w:sz="0" w:space="0" w:color="auto"/>
        <w:left w:val="none" w:sz="0" w:space="0" w:color="auto"/>
        <w:bottom w:val="none" w:sz="0" w:space="0" w:color="auto"/>
        <w:right w:val="none" w:sz="0" w:space="0" w:color="auto"/>
      </w:divBdr>
      <w:divsChild>
        <w:div w:id="1477797644">
          <w:marLeft w:val="0"/>
          <w:marRight w:val="0"/>
          <w:marTop w:val="0"/>
          <w:marBottom w:val="0"/>
          <w:divBdr>
            <w:top w:val="none" w:sz="0" w:space="0" w:color="auto"/>
            <w:left w:val="none" w:sz="0" w:space="0" w:color="auto"/>
            <w:bottom w:val="none" w:sz="0" w:space="0" w:color="auto"/>
            <w:right w:val="none" w:sz="0" w:space="0" w:color="auto"/>
          </w:divBdr>
        </w:div>
      </w:divsChild>
    </w:div>
    <w:div w:id="1474788907">
      <w:bodyDiv w:val="1"/>
      <w:marLeft w:val="0"/>
      <w:marRight w:val="0"/>
      <w:marTop w:val="0"/>
      <w:marBottom w:val="0"/>
      <w:divBdr>
        <w:top w:val="none" w:sz="0" w:space="0" w:color="auto"/>
        <w:left w:val="none" w:sz="0" w:space="0" w:color="auto"/>
        <w:bottom w:val="none" w:sz="0" w:space="0" w:color="auto"/>
        <w:right w:val="none" w:sz="0" w:space="0" w:color="auto"/>
      </w:divBdr>
      <w:divsChild>
        <w:div w:id="1212033319">
          <w:marLeft w:val="0"/>
          <w:marRight w:val="0"/>
          <w:marTop w:val="0"/>
          <w:marBottom w:val="0"/>
          <w:divBdr>
            <w:top w:val="none" w:sz="0" w:space="0" w:color="auto"/>
            <w:left w:val="none" w:sz="0" w:space="0" w:color="auto"/>
            <w:bottom w:val="none" w:sz="0" w:space="0" w:color="auto"/>
            <w:right w:val="none" w:sz="0" w:space="0" w:color="auto"/>
          </w:divBdr>
        </w:div>
      </w:divsChild>
    </w:div>
    <w:div w:id="1514952403">
      <w:bodyDiv w:val="1"/>
      <w:marLeft w:val="0"/>
      <w:marRight w:val="0"/>
      <w:marTop w:val="0"/>
      <w:marBottom w:val="0"/>
      <w:divBdr>
        <w:top w:val="none" w:sz="0" w:space="0" w:color="auto"/>
        <w:left w:val="none" w:sz="0" w:space="0" w:color="auto"/>
        <w:bottom w:val="none" w:sz="0" w:space="0" w:color="auto"/>
        <w:right w:val="none" w:sz="0" w:space="0" w:color="auto"/>
      </w:divBdr>
    </w:div>
    <w:div w:id="1533686884">
      <w:bodyDiv w:val="1"/>
      <w:marLeft w:val="0"/>
      <w:marRight w:val="0"/>
      <w:marTop w:val="0"/>
      <w:marBottom w:val="0"/>
      <w:divBdr>
        <w:top w:val="none" w:sz="0" w:space="0" w:color="auto"/>
        <w:left w:val="none" w:sz="0" w:space="0" w:color="auto"/>
        <w:bottom w:val="none" w:sz="0" w:space="0" w:color="auto"/>
        <w:right w:val="none" w:sz="0" w:space="0" w:color="auto"/>
      </w:divBdr>
      <w:divsChild>
        <w:div w:id="721172366">
          <w:marLeft w:val="0"/>
          <w:marRight w:val="0"/>
          <w:marTop w:val="0"/>
          <w:marBottom w:val="0"/>
          <w:divBdr>
            <w:top w:val="none" w:sz="0" w:space="0" w:color="auto"/>
            <w:left w:val="none" w:sz="0" w:space="0" w:color="auto"/>
            <w:bottom w:val="none" w:sz="0" w:space="0" w:color="auto"/>
            <w:right w:val="none" w:sz="0" w:space="0" w:color="auto"/>
          </w:divBdr>
        </w:div>
      </w:divsChild>
    </w:div>
    <w:div w:id="1549369222">
      <w:bodyDiv w:val="1"/>
      <w:marLeft w:val="0"/>
      <w:marRight w:val="0"/>
      <w:marTop w:val="0"/>
      <w:marBottom w:val="0"/>
      <w:divBdr>
        <w:top w:val="none" w:sz="0" w:space="0" w:color="auto"/>
        <w:left w:val="none" w:sz="0" w:space="0" w:color="auto"/>
        <w:bottom w:val="none" w:sz="0" w:space="0" w:color="auto"/>
        <w:right w:val="none" w:sz="0" w:space="0" w:color="auto"/>
      </w:divBdr>
      <w:divsChild>
        <w:div w:id="1833443713">
          <w:marLeft w:val="0"/>
          <w:marRight w:val="0"/>
          <w:marTop w:val="0"/>
          <w:marBottom w:val="0"/>
          <w:divBdr>
            <w:top w:val="none" w:sz="0" w:space="0" w:color="auto"/>
            <w:left w:val="none" w:sz="0" w:space="0" w:color="auto"/>
            <w:bottom w:val="none" w:sz="0" w:space="0" w:color="auto"/>
            <w:right w:val="none" w:sz="0" w:space="0" w:color="auto"/>
          </w:divBdr>
        </w:div>
      </w:divsChild>
    </w:div>
    <w:div w:id="1577352179">
      <w:bodyDiv w:val="1"/>
      <w:marLeft w:val="0"/>
      <w:marRight w:val="0"/>
      <w:marTop w:val="0"/>
      <w:marBottom w:val="0"/>
      <w:divBdr>
        <w:top w:val="none" w:sz="0" w:space="0" w:color="auto"/>
        <w:left w:val="none" w:sz="0" w:space="0" w:color="auto"/>
        <w:bottom w:val="none" w:sz="0" w:space="0" w:color="auto"/>
        <w:right w:val="none" w:sz="0" w:space="0" w:color="auto"/>
      </w:divBdr>
      <w:divsChild>
        <w:div w:id="472719461">
          <w:marLeft w:val="0"/>
          <w:marRight w:val="0"/>
          <w:marTop w:val="0"/>
          <w:marBottom w:val="0"/>
          <w:divBdr>
            <w:top w:val="none" w:sz="0" w:space="0" w:color="auto"/>
            <w:left w:val="none" w:sz="0" w:space="0" w:color="auto"/>
            <w:bottom w:val="none" w:sz="0" w:space="0" w:color="auto"/>
            <w:right w:val="none" w:sz="0" w:space="0" w:color="auto"/>
          </w:divBdr>
        </w:div>
      </w:divsChild>
    </w:div>
    <w:div w:id="1587693154">
      <w:bodyDiv w:val="1"/>
      <w:marLeft w:val="0"/>
      <w:marRight w:val="0"/>
      <w:marTop w:val="0"/>
      <w:marBottom w:val="0"/>
      <w:divBdr>
        <w:top w:val="none" w:sz="0" w:space="0" w:color="auto"/>
        <w:left w:val="none" w:sz="0" w:space="0" w:color="auto"/>
        <w:bottom w:val="none" w:sz="0" w:space="0" w:color="auto"/>
        <w:right w:val="none" w:sz="0" w:space="0" w:color="auto"/>
      </w:divBdr>
      <w:divsChild>
        <w:div w:id="720980316">
          <w:marLeft w:val="0"/>
          <w:marRight w:val="0"/>
          <w:marTop w:val="0"/>
          <w:marBottom w:val="0"/>
          <w:divBdr>
            <w:top w:val="none" w:sz="0" w:space="0" w:color="auto"/>
            <w:left w:val="none" w:sz="0" w:space="0" w:color="auto"/>
            <w:bottom w:val="none" w:sz="0" w:space="0" w:color="auto"/>
            <w:right w:val="none" w:sz="0" w:space="0" w:color="auto"/>
          </w:divBdr>
        </w:div>
      </w:divsChild>
    </w:div>
    <w:div w:id="1592466749">
      <w:bodyDiv w:val="1"/>
      <w:marLeft w:val="0"/>
      <w:marRight w:val="0"/>
      <w:marTop w:val="0"/>
      <w:marBottom w:val="0"/>
      <w:divBdr>
        <w:top w:val="none" w:sz="0" w:space="0" w:color="auto"/>
        <w:left w:val="none" w:sz="0" w:space="0" w:color="auto"/>
        <w:bottom w:val="none" w:sz="0" w:space="0" w:color="auto"/>
        <w:right w:val="none" w:sz="0" w:space="0" w:color="auto"/>
      </w:divBdr>
      <w:divsChild>
        <w:div w:id="1446457750">
          <w:marLeft w:val="0"/>
          <w:marRight w:val="0"/>
          <w:marTop w:val="0"/>
          <w:marBottom w:val="0"/>
          <w:divBdr>
            <w:top w:val="none" w:sz="0" w:space="0" w:color="auto"/>
            <w:left w:val="none" w:sz="0" w:space="0" w:color="auto"/>
            <w:bottom w:val="none" w:sz="0" w:space="0" w:color="auto"/>
            <w:right w:val="none" w:sz="0" w:space="0" w:color="auto"/>
          </w:divBdr>
        </w:div>
      </w:divsChild>
    </w:div>
    <w:div w:id="1595437047">
      <w:bodyDiv w:val="1"/>
      <w:marLeft w:val="0"/>
      <w:marRight w:val="0"/>
      <w:marTop w:val="0"/>
      <w:marBottom w:val="0"/>
      <w:divBdr>
        <w:top w:val="none" w:sz="0" w:space="0" w:color="auto"/>
        <w:left w:val="none" w:sz="0" w:space="0" w:color="auto"/>
        <w:bottom w:val="none" w:sz="0" w:space="0" w:color="auto"/>
        <w:right w:val="none" w:sz="0" w:space="0" w:color="auto"/>
      </w:divBdr>
      <w:divsChild>
        <w:div w:id="46497523">
          <w:marLeft w:val="0"/>
          <w:marRight w:val="0"/>
          <w:marTop w:val="0"/>
          <w:marBottom w:val="0"/>
          <w:divBdr>
            <w:top w:val="none" w:sz="0" w:space="0" w:color="auto"/>
            <w:left w:val="none" w:sz="0" w:space="0" w:color="auto"/>
            <w:bottom w:val="none" w:sz="0" w:space="0" w:color="auto"/>
            <w:right w:val="none" w:sz="0" w:space="0" w:color="auto"/>
          </w:divBdr>
        </w:div>
      </w:divsChild>
    </w:div>
    <w:div w:id="1624994284">
      <w:bodyDiv w:val="1"/>
      <w:marLeft w:val="0"/>
      <w:marRight w:val="0"/>
      <w:marTop w:val="0"/>
      <w:marBottom w:val="0"/>
      <w:divBdr>
        <w:top w:val="none" w:sz="0" w:space="0" w:color="auto"/>
        <w:left w:val="none" w:sz="0" w:space="0" w:color="auto"/>
        <w:bottom w:val="none" w:sz="0" w:space="0" w:color="auto"/>
        <w:right w:val="none" w:sz="0" w:space="0" w:color="auto"/>
      </w:divBdr>
      <w:divsChild>
        <w:div w:id="1164860778">
          <w:marLeft w:val="0"/>
          <w:marRight w:val="0"/>
          <w:marTop w:val="0"/>
          <w:marBottom w:val="0"/>
          <w:divBdr>
            <w:top w:val="none" w:sz="0" w:space="0" w:color="auto"/>
            <w:left w:val="none" w:sz="0" w:space="0" w:color="auto"/>
            <w:bottom w:val="none" w:sz="0" w:space="0" w:color="auto"/>
            <w:right w:val="none" w:sz="0" w:space="0" w:color="auto"/>
          </w:divBdr>
        </w:div>
      </w:divsChild>
    </w:div>
    <w:div w:id="1633553754">
      <w:bodyDiv w:val="1"/>
      <w:marLeft w:val="0"/>
      <w:marRight w:val="0"/>
      <w:marTop w:val="0"/>
      <w:marBottom w:val="0"/>
      <w:divBdr>
        <w:top w:val="none" w:sz="0" w:space="0" w:color="auto"/>
        <w:left w:val="none" w:sz="0" w:space="0" w:color="auto"/>
        <w:bottom w:val="none" w:sz="0" w:space="0" w:color="auto"/>
        <w:right w:val="none" w:sz="0" w:space="0" w:color="auto"/>
      </w:divBdr>
    </w:div>
    <w:div w:id="1637292573">
      <w:bodyDiv w:val="1"/>
      <w:marLeft w:val="0"/>
      <w:marRight w:val="0"/>
      <w:marTop w:val="0"/>
      <w:marBottom w:val="0"/>
      <w:divBdr>
        <w:top w:val="none" w:sz="0" w:space="0" w:color="auto"/>
        <w:left w:val="none" w:sz="0" w:space="0" w:color="auto"/>
        <w:bottom w:val="none" w:sz="0" w:space="0" w:color="auto"/>
        <w:right w:val="none" w:sz="0" w:space="0" w:color="auto"/>
      </w:divBdr>
      <w:divsChild>
        <w:div w:id="1518541511">
          <w:marLeft w:val="0"/>
          <w:marRight w:val="0"/>
          <w:marTop w:val="0"/>
          <w:marBottom w:val="0"/>
          <w:divBdr>
            <w:top w:val="none" w:sz="0" w:space="0" w:color="auto"/>
            <w:left w:val="none" w:sz="0" w:space="0" w:color="auto"/>
            <w:bottom w:val="none" w:sz="0" w:space="0" w:color="auto"/>
            <w:right w:val="none" w:sz="0" w:space="0" w:color="auto"/>
          </w:divBdr>
        </w:div>
      </w:divsChild>
    </w:div>
    <w:div w:id="1648705170">
      <w:bodyDiv w:val="1"/>
      <w:marLeft w:val="0"/>
      <w:marRight w:val="0"/>
      <w:marTop w:val="0"/>
      <w:marBottom w:val="0"/>
      <w:divBdr>
        <w:top w:val="none" w:sz="0" w:space="0" w:color="auto"/>
        <w:left w:val="none" w:sz="0" w:space="0" w:color="auto"/>
        <w:bottom w:val="none" w:sz="0" w:space="0" w:color="auto"/>
        <w:right w:val="none" w:sz="0" w:space="0" w:color="auto"/>
      </w:divBdr>
      <w:divsChild>
        <w:div w:id="1283877404">
          <w:marLeft w:val="0"/>
          <w:marRight w:val="0"/>
          <w:marTop w:val="0"/>
          <w:marBottom w:val="0"/>
          <w:divBdr>
            <w:top w:val="none" w:sz="0" w:space="0" w:color="auto"/>
            <w:left w:val="none" w:sz="0" w:space="0" w:color="auto"/>
            <w:bottom w:val="none" w:sz="0" w:space="0" w:color="auto"/>
            <w:right w:val="none" w:sz="0" w:space="0" w:color="auto"/>
          </w:divBdr>
        </w:div>
      </w:divsChild>
    </w:div>
    <w:div w:id="1650011565">
      <w:bodyDiv w:val="1"/>
      <w:marLeft w:val="0"/>
      <w:marRight w:val="0"/>
      <w:marTop w:val="0"/>
      <w:marBottom w:val="0"/>
      <w:divBdr>
        <w:top w:val="none" w:sz="0" w:space="0" w:color="auto"/>
        <w:left w:val="none" w:sz="0" w:space="0" w:color="auto"/>
        <w:bottom w:val="none" w:sz="0" w:space="0" w:color="auto"/>
        <w:right w:val="none" w:sz="0" w:space="0" w:color="auto"/>
      </w:divBdr>
      <w:divsChild>
        <w:div w:id="508563136">
          <w:marLeft w:val="0"/>
          <w:marRight w:val="0"/>
          <w:marTop w:val="0"/>
          <w:marBottom w:val="0"/>
          <w:divBdr>
            <w:top w:val="none" w:sz="0" w:space="0" w:color="auto"/>
            <w:left w:val="none" w:sz="0" w:space="0" w:color="auto"/>
            <w:bottom w:val="none" w:sz="0" w:space="0" w:color="auto"/>
            <w:right w:val="none" w:sz="0" w:space="0" w:color="auto"/>
          </w:divBdr>
        </w:div>
      </w:divsChild>
    </w:div>
    <w:div w:id="1663509987">
      <w:bodyDiv w:val="1"/>
      <w:marLeft w:val="0"/>
      <w:marRight w:val="0"/>
      <w:marTop w:val="0"/>
      <w:marBottom w:val="0"/>
      <w:divBdr>
        <w:top w:val="none" w:sz="0" w:space="0" w:color="auto"/>
        <w:left w:val="none" w:sz="0" w:space="0" w:color="auto"/>
        <w:bottom w:val="none" w:sz="0" w:space="0" w:color="auto"/>
        <w:right w:val="none" w:sz="0" w:space="0" w:color="auto"/>
      </w:divBdr>
    </w:div>
    <w:div w:id="1670594784">
      <w:bodyDiv w:val="1"/>
      <w:marLeft w:val="0"/>
      <w:marRight w:val="0"/>
      <w:marTop w:val="0"/>
      <w:marBottom w:val="0"/>
      <w:divBdr>
        <w:top w:val="none" w:sz="0" w:space="0" w:color="auto"/>
        <w:left w:val="none" w:sz="0" w:space="0" w:color="auto"/>
        <w:bottom w:val="none" w:sz="0" w:space="0" w:color="auto"/>
        <w:right w:val="none" w:sz="0" w:space="0" w:color="auto"/>
      </w:divBdr>
      <w:divsChild>
        <w:div w:id="1962148670">
          <w:marLeft w:val="0"/>
          <w:marRight w:val="0"/>
          <w:marTop w:val="0"/>
          <w:marBottom w:val="0"/>
          <w:divBdr>
            <w:top w:val="none" w:sz="0" w:space="0" w:color="auto"/>
            <w:left w:val="none" w:sz="0" w:space="0" w:color="auto"/>
            <w:bottom w:val="none" w:sz="0" w:space="0" w:color="auto"/>
            <w:right w:val="none" w:sz="0" w:space="0" w:color="auto"/>
          </w:divBdr>
        </w:div>
      </w:divsChild>
    </w:div>
    <w:div w:id="1718385778">
      <w:bodyDiv w:val="1"/>
      <w:marLeft w:val="0"/>
      <w:marRight w:val="0"/>
      <w:marTop w:val="0"/>
      <w:marBottom w:val="0"/>
      <w:divBdr>
        <w:top w:val="none" w:sz="0" w:space="0" w:color="auto"/>
        <w:left w:val="none" w:sz="0" w:space="0" w:color="auto"/>
        <w:bottom w:val="none" w:sz="0" w:space="0" w:color="auto"/>
        <w:right w:val="none" w:sz="0" w:space="0" w:color="auto"/>
      </w:divBdr>
    </w:div>
    <w:div w:id="1732461255">
      <w:bodyDiv w:val="1"/>
      <w:marLeft w:val="0"/>
      <w:marRight w:val="0"/>
      <w:marTop w:val="0"/>
      <w:marBottom w:val="0"/>
      <w:divBdr>
        <w:top w:val="none" w:sz="0" w:space="0" w:color="auto"/>
        <w:left w:val="none" w:sz="0" w:space="0" w:color="auto"/>
        <w:bottom w:val="none" w:sz="0" w:space="0" w:color="auto"/>
        <w:right w:val="none" w:sz="0" w:space="0" w:color="auto"/>
      </w:divBdr>
      <w:divsChild>
        <w:div w:id="546915522">
          <w:marLeft w:val="0"/>
          <w:marRight w:val="0"/>
          <w:marTop w:val="0"/>
          <w:marBottom w:val="0"/>
          <w:divBdr>
            <w:top w:val="none" w:sz="0" w:space="0" w:color="auto"/>
            <w:left w:val="none" w:sz="0" w:space="0" w:color="auto"/>
            <w:bottom w:val="none" w:sz="0" w:space="0" w:color="auto"/>
            <w:right w:val="none" w:sz="0" w:space="0" w:color="auto"/>
          </w:divBdr>
        </w:div>
      </w:divsChild>
    </w:div>
    <w:div w:id="1734279437">
      <w:bodyDiv w:val="1"/>
      <w:marLeft w:val="0"/>
      <w:marRight w:val="0"/>
      <w:marTop w:val="0"/>
      <w:marBottom w:val="0"/>
      <w:divBdr>
        <w:top w:val="none" w:sz="0" w:space="0" w:color="auto"/>
        <w:left w:val="none" w:sz="0" w:space="0" w:color="auto"/>
        <w:bottom w:val="none" w:sz="0" w:space="0" w:color="auto"/>
        <w:right w:val="none" w:sz="0" w:space="0" w:color="auto"/>
      </w:divBdr>
      <w:divsChild>
        <w:div w:id="1643920417">
          <w:marLeft w:val="0"/>
          <w:marRight w:val="0"/>
          <w:marTop w:val="0"/>
          <w:marBottom w:val="0"/>
          <w:divBdr>
            <w:top w:val="none" w:sz="0" w:space="0" w:color="auto"/>
            <w:left w:val="none" w:sz="0" w:space="0" w:color="auto"/>
            <w:bottom w:val="none" w:sz="0" w:space="0" w:color="auto"/>
            <w:right w:val="none" w:sz="0" w:space="0" w:color="auto"/>
          </w:divBdr>
        </w:div>
      </w:divsChild>
    </w:div>
    <w:div w:id="1742171939">
      <w:bodyDiv w:val="1"/>
      <w:marLeft w:val="0"/>
      <w:marRight w:val="0"/>
      <w:marTop w:val="0"/>
      <w:marBottom w:val="0"/>
      <w:divBdr>
        <w:top w:val="none" w:sz="0" w:space="0" w:color="auto"/>
        <w:left w:val="none" w:sz="0" w:space="0" w:color="auto"/>
        <w:bottom w:val="none" w:sz="0" w:space="0" w:color="auto"/>
        <w:right w:val="none" w:sz="0" w:space="0" w:color="auto"/>
      </w:divBdr>
      <w:divsChild>
        <w:div w:id="921983999">
          <w:marLeft w:val="0"/>
          <w:marRight w:val="0"/>
          <w:marTop w:val="0"/>
          <w:marBottom w:val="0"/>
          <w:divBdr>
            <w:top w:val="none" w:sz="0" w:space="0" w:color="auto"/>
            <w:left w:val="none" w:sz="0" w:space="0" w:color="auto"/>
            <w:bottom w:val="none" w:sz="0" w:space="0" w:color="auto"/>
            <w:right w:val="none" w:sz="0" w:space="0" w:color="auto"/>
          </w:divBdr>
        </w:div>
      </w:divsChild>
    </w:div>
    <w:div w:id="1750347531">
      <w:bodyDiv w:val="1"/>
      <w:marLeft w:val="0"/>
      <w:marRight w:val="0"/>
      <w:marTop w:val="0"/>
      <w:marBottom w:val="0"/>
      <w:divBdr>
        <w:top w:val="none" w:sz="0" w:space="0" w:color="auto"/>
        <w:left w:val="none" w:sz="0" w:space="0" w:color="auto"/>
        <w:bottom w:val="none" w:sz="0" w:space="0" w:color="auto"/>
        <w:right w:val="none" w:sz="0" w:space="0" w:color="auto"/>
      </w:divBdr>
      <w:divsChild>
        <w:div w:id="208108912">
          <w:marLeft w:val="0"/>
          <w:marRight w:val="0"/>
          <w:marTop w:val="0"/>
          <w:marBottom w:val="0"/>
          <w:divBdr>
            <w:top w:val="none" w:sz="0" w:space="0" w:color="auto"/>
            <w:left w:val="none" w:sz="0" w:space="0" w:color="auto"/>
            <w:bottom w:val="none" w:sz="0" w:space="0" w:color="auto"/>
            <w:right w:val="none" w:sz="0" w:space="0" w:color="auto"/>
          </w:divBdr>
        </w:div>
      </w:divsChild>
    </w:div>
    <w:div w:id="1754738333">
      <w:bodyDiv w:val="1"/>
      <w:marLeft w:val="0"/>
      <w:marRight w:val="0"/>
      <w:marTop w:val="0"/>
      <w:marBottom w:val="0"/>
      <w:divBdr>
        <w:top w:val="none" w:sz="0" w:space="0" w:color="auto"/>
        <w:left w:val="none" w:sz="0" w:space="0" w:color="auto"/>
        <w:bottom w:val="none" w:sz="0" w:space="0" w:color="auto"/>
        <w:right w:val="none" w:sz="0" w:space="0" w:color="auto"/>
      </w:divBdr>
    </w:div>
    <w:div w:id="1769350451">
      <w:bodyDiv w:val="1"/>
      <w:marLeft w:val="0"/>
      <w:marRight w:val="0"/>
      <w:marTop w:val="0"/>
      <w:marBottom w:val="0"/>
      <w:divBdr>
        <w:top w:val="none" w:sz="0" w:space="0" w:color="auto"/>
        <w:left w:val="none" w:sz="0" w:space="0" w:color="auto"/>
        <w:bottom w:val="none" w:sz="0" w:space="0" w:color="auto"/>
        <w:right w:val="none" w:sz="0" w:space="0" w:color="auto"/>
      </w:divBdr>
      <w:divsChild>
        <w:div w:id="1363899266">
          <w:marLeft w:val="0"/>
          <w:marRight w:val="0"/>
          <w:marTop w:val="0"/>
          <w:marBottom w:val="0"/>
          <w:divBdr>
            <w:top w:val="none" w:sz="0" w:space="0" w:color="auto"/>
            <w:left w:val="none" w:sz="0" w:space="0" w:color="auto"/>
            <w:bottom w:val="none" w:sz="0" w:space="0" w:color="auto"/>
            <w:right w:val="none" w:sz="0" w:space="0" w:color="auto"/>
          </w:divBdr>
        </w:div>
      </w:divsChild>
    </w:div>
    <w:div w:id="1780487971">
      <w:bodyDiv w:val="1"/>
      <w:marLeft w:val="0"/>
      <w:marRight w:val="0"/>
      <w:marTop w:val="0"/>
      <w:marBottom w:val="0"/>
      <w:divBdr>
        <w:top w:val="none" w:sz="0" w:space="0" w:color="auto"/>
        <w:left w:val="none" w:sz="0" w:space="0" w:color="auto"/>
        <w:bottom w:val="none" w:sz="0" w:space="0" w:color="auto"/>
        <w:right w:val="none" w:sz="0" w:space="0" w:color="auto"/>
      </w:divBdr>
    </w:div>
    <w:div w:id="1784030098">
      <w:bodyDiv w:val="1"/>
      <w:marLeft w:val="0"/>
      <w:marRight w:val="0"/>
      <w:marTop w:val="0"/>
      <w:marBottom w:val="0"/>
      <w:divBdr>
        <w:top w:val="none" w:sz="0" w:space="0" w:color="auto"/>
        <w:left w:val="none" w:sz="0" w:space="0" w:color="auto"/>
        <w:bottom w:val="none" w:sz="0" w:space="0" w:color="auto"/>
        <w:right w:val="none" w:sz="0" w:space="0" w:color="auto"/>
      </w:divBdr>
    </w:div>
    <w:div w:id="1802502299">
      <w:bodyDiv w:val="1"/>
      <w:marLeft w:val="0"/>
      <w:marRight w:val="0"/>
      <w:marTop w:val="0"/>
      <w:marBottom w:val="0"/>
      <w:divBdr>
        <w:top w:val="none" w:sz="0" w:space="0" w:color="auto"/>
        <w:left w:val="none" w:sz="0" w:space="0" w:color="auto"/>
        <w:bottom w:val="none" w:sz="0" w:space="0" w:color="auto"/>
        <w:right w:val="none" w:sz="0" w:space="0" w:color="auto"/>
      </w:divBdr>
    </w:div>
    <w:div w:id="1807968477">
      <w:bodyDiv w:val="1"/>
      <w:marLeft w:val="0"/>
      <w:marRight w:val="0"/>
      <w:marTop w:val="0"/>
      <w:marBottom w:val="0"/>
      <w:divBdr>
        <w:top w:val="none" w:sz="0" w:space="0" w:color="auto"/>
        <w:left w:val="none" w:sz="0" w:space="0" w:color="auto"/>
        <w:bottom w:val="none" w:sz="0" w:space="0" w:color="auto"/>
        <w:right w:val="none" w:sz="0" w:space="0" w:color="auto"/>
      </w:divBdr>
      <w:divsChild>
        <w:div w:id="157623808">
          <w:marLeft w:val="0"/>
          <w:marRight w:val="0"/>
          <w:marTop w:val="0"/>
          <w:marBottom w:val="0"/>
          <w:divBdr>
            <w:top w:val="none" w:sz="0" w:space="0" w:color="auto"/>
            <w:left w:val="none" w:sz="0" w:space="0" w:color="auto"/>
            <w:bottom w:val="none" w:sz="0" w:space="0" w:color="auto"/>
            <w:right w:val="none" w:sz="0" w:space="0" w:color="auto"/>
          </w:divBdr>
        </w:div>
      </w:divsChild>
    </w:div>
    <w:div w:id="1813402046">
      <w:bodyDiv w:val="1"/>
      <w:marLeft w:val="0"/>
      <w:marRight w:val="0"/>
      <w:marTop w:val="0"/>
      <w:marBottom w:val="0"/>
      <w:divBdr>
        <w:top w:val="none" w:sz="0" w:space="0" w:color="auto"/>
        <w:left w:val="none" w:sz="0" w:space="0" w:color="auto"/>
        <w:bottom w:val="none" w:sz="0" w:space="0" w:color="auto"/>
        <w:right w:val="none" w:sz="0" w:space="0" w:color="auto"/>
      </w:divBdr>
      <w:divsChild>
        <w:div w:id="948202653">
          <w:marLeft w:val="0"/>
          <w:marRight w:val="0"/>
          <w:marTop w:val="0"/>
          <w:marBottom w:val="0"/>
          <w:divBdr>
            <w:top w:val="none" w:sz="0" w:space="0" w:color="auto"/>
            <w:left w:val="none" w:sz="0" w:space="0" w:color="auto"/>
            <w:bottom w:val="none" w:sz="0" w:space="0" w:color="auto"/>
            <w:right w:val="none" w:sz="0" w:space="0" w:color="auto"/>
          </w:divBdr>
        </w:div>
      </w:divsChild>
    </w:div>
    <w:div w:id="1817338816">
      <w:bodyDiv w:val="1"/>
      <w:marLeft w:val="0"/>
      <w:marRight w:val="0"/>
      <w:marTop w:val="0"/>
      <w:marBottom w:val="0"/>
      <w:divBdr>
        <w:top w:val="none" w:sz="0" w:space="0" w:color="auto"/>
        <w:left w:val="none" w:sz="0" w:space="0" w:color="auto"/>
        <w:bottom w:val="none" w:sz="0" w:space="0" w:color="auto"/>
        <w:right w:val="none" w:sz="0" w:space="0" w:color="auto"/>
      </w:divBdr>
      <w:divsChild>
        <w:div w:id="1135876117">
          <w:marLeft w:val="0"/>
          <w:marRight w:val="0"/>
          <w:marTop w:val="0"/>
          <w:marBottom w:val="0"/>
          <w:divBdr>
            <w:top w:val="none" w:sz="0" w:space="0" w:color="auto"/>
            <w:left w:val="none" w:sz="0" w:space="0" w:color="auto"/>
            <w:bottom w:val="none" w:sz="0" w:space="0" w:color="auto"/>
            <w:right w:val="none" w:sz="0" w:space="0" w:color="auto"/>
          </w:divBdr>
        </w:div>
      </w:divsChild>
    </w:div>
    <w:div w:id="18477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 w:id="1856722989">
      <w:bodyDiv w:val="1"/>
      <w:marLeft w:val="0"/>
      <w:marRight w:val="0"/>
      <w:marTop w:val="0"/>
      <w:marBottom w:val="0"/>
      <w:divBdr>
        <w:top w:val="none" w:sz="0" w:space="0" w:color="auto"/>
        <w:left w:val="none" w:sz="0" w:space="0" w:color="auto"/>
        <w:bottom w:val="none" w:sz="0" w:space="0" w:color="auto"/>
        <w:right w:val="none" w:sz="0" w:space="0" w:color="auto"/>
      </w:divBdr>
    </w:div>
    <w:div w:id="1881043557">
      <w:bodyDiv w:val="1"/>
      <w:marLeft w:val="0"/>
      <w:marRight w:val="0"/>
      <w:marTop w:val="0"/>
      <w:marBottom w:val="0"/>
      <w:divBdr>
        <w:top w:val="none" w:sz="0" w:space="0" w:color="auto"/>
        <w:left w:val="none" w:sz="0" w:space="0" w:color="auto"/>
        <w:bottom w:val="none" w:sz="0" w:space="0" w:color="auto"/>
        <w:right w:val="none" w:sz="0" w:space="0" w:color="auto"/>
      </w:divBdr>
      <w:divsChild>
        <w:div w:id="1126195286">
          <w:marLeft w:val="0"/>
          <w:marRight w:val="0"/>
          <w:marTop w:val="0"/>
          <w:marBottom w:val="0"/>
          <w:divBdr>
            <w:top w:val="none" w:sz="0" w:space="0" w:color="auto"/>
            <w:left w:val="none" w:sz="0" w:space="0" w:color="auto"/>
            <w:bottom w:val="none" w:sz="0" w:space="0" w:color="auto"/>
            <w:right w:val="none" w:sz="0" w:space="0" w:color="auto"/>
          </w:divBdr>
        </w:div>
      </w:divsChild>
    </w:div>
    <w:div w:id="1891067836">
      <w:bodyDiv w:val="1"/>
      <w:marLeft w:val="0"/>
      <w:marRight w:val="0"/>
      <w:marTop w:val="0"/>
      <w:marBottom w:val="0"/>
      <w:divBdr>
        <w:top w:val="none" w:sz="0" w:space="0" w:color="auto"/>
        <w:left w:val="none" w:sz="0" w:space="0" w:color="auto"/>
        <w:bottom w:val="none" w:sz="0" w:space="0" w:color="auto"/>
        <w:right w:val="none" w:sz="0" w:space="0" w:color="auto"/>
      </w:divBdr>
      <w:divsChild>
        <w:div w:id="1286353569">
          <w:marLeft w:val="0"/>
          <w:marRight w:val="0"/>
          <w:marTop w:val="0"/>
          <w:marBottom w:val="0"/>
          <w:divBdr>
            <w:top w:val="none" w:sz="0" w:space="0" w:color="auto"/>
            <w:left w:val="none" w:sz="0" w:space="0" w:color="auto"/>
            <w:bottom w:val="none" w:sz="0" w:space="0" w:color="auto"/>
            <w:right w:val="none" w:sz="0" w:space="0" w:color="auto"/>
          </w:divBdr>
        </w:div>
      </w:divsChild>
    </w:div>
    <w:div w:id="1911039816">
      <w:bodyDiv w:val="1"/>
      <w:marLeft w:val="0"/>
      <w:marRight w:val="0"/>
      <w:marTop w:val="0"/>
      <w:marBottom w:val="0"/>
      <w:divBdr>
        <w:top w:val="none" w:sz="0" w:space="0" w:color="auto"/>
        <w:left w:val="none" w:sz="0" w:space="0" w:color="auto"/>
        <w:bottom w:val="none" w:sz="0" w:space="0" w:color="auto"/>
        <w:right w:val="none" w:sz="0" w:space="0" w:color="auto"/>
      </w:divBdr>
      <w:divsChild>
        <w:div w:id="148062909">
          <w:marLeft w:val="0"/>
          <w:marRight w:val="0"/>
          <w:marTop w:val="0"/>
          <w:marBottom w:val="0"/>
          <w:divBdr>
            <w:top w:val="none" w:sz="0" w:space="0" w:color="auto"/>
            <w:left w:val="none" w:sz="0" w:space="0" w:color="auto"/>
            <w:bottom w:val="none" w:sz="0" w:space="0" w:color="auto"/>
            <w:right w:val="none" w:sz="0" w:space="0" w:color="auto"/>
          </w:divBdr>
        </w:div>
      </w:divsChild>
    </w:div>
    <w:div w:id="1911429753">
      <w:bodyDiv w:val="1"/>
      <w:marLeft w:val="0"/>
      <w:marRight w:val="0"/>
      <w:marTop w:val="0"/>
      <w:marBottom w:val="0"/>
      <w:divBdr>
        <w:top w:val="none" w:sz="0" w:space="0" w:color="auto"/>
        <w:left w:val="none" w:sz="0" w:space="0" w:color="auto"/>
        <w:bottom w:val="none" w:sz="0" w:space="0" w:color="auto"/>
        <w:right w:val="none" w:sz="0" w:space="0" w:color="auto"/>
      </w:divBdr>
    </w:div>
    <w:div w:id="1947149100">
      <w:bodyDiv w:val="1"/>
      <w:marLeft w:val="0"/>
      <w:marRight w:val="0"/>
      <w:marTop w:val="0"/>
      <w:marBottom w:val="0"/>
      <w:divBdr>
        <w:top w:val="none" w:sz="0" w:space="0" w:color="auto"/>
        <w:left w:val="none" w:sz="0" w:space="0" w:color="auto"/>
        <w:bottom w:val="none" w:sz="0" w:space="0" w:color="auto"/>
        <w:right w:val="none" w:sz="0" w:space="0" w:color="auto"/>
      </w:divBdr>
    </w:div>
    <w:div w:id="1948730832">
      <w:bodyDiv w:val="1"/>
      <w:marLeft w:val="0"/>
      <w:marRight w:val="0"/>
      <w:marTop w:val="0"/>
      <w:marBottom w:val="0"/>
      <w:divBdr>
        <w:top w:val="none" w:sz="0" w:space="0" w:color="auto"/>
        <w:left w:val="none" w:sz="0" w:space="0" w:color="auto"/>
        <w:bottom w:val="none" w:sz="0" w:space="0" w:color="auto"/>
        <w:right w:val="none" w:sz="0" w:space="0" w:color="auto"/>
      </w:divBdr>
    </w:div>
    <w:div w:id="1959026309">
      <w:bodyDiv w:val="1"/>
      <w:marLeft w:val="0"/>
      <w:marRight w:val="0"/>
      <w:marTop w:val="0"/>
      <w:marBottom w:val="0"/>
      <w:divBdr>
        <w:top w:val="none" w:sz="0" w:space="0" w:color="auto"/>
        <w:left w:val="none" w:sz="0" w:space="0" w:color="auto"/>
        <w:bottom w:val="none" w:sz="0" w:space="0" w:color="auto"/>
        <w:right w:val="none" w:sz="0" w:space="0" w:color="auto"/>
      </w:divBdr>
      <w:divsChild>
        <w:div w:id="610669475">
          <w:marLeft w:val="0"/>
          <w:marRight w:val="0"/>
          <w:marTop w:val="0"/>
          <w:marBottom w:val="0"/>
          <w:divBdr>
            <w:top w:val="none" w:sz="0" w:space="0" w:color="auto"/>
            <w:left w:val="none" w:sz="0" w:space="0" w:color="auto"/>
            <w:bottom w:val="none" w:sz="0" w:space="0" w:color="auto"/>
            <w:right w:val="none" w:sz="0" w:space="0" w:color="auto"/>
          </w:divBdr>
        </w:div>
      </w:divsChild>
    </w:div>
    <w:div w:id="1980065202">
      <w:bodyDiv w:val="1"/>
      <w:marLeft w:val="0"/>
      <w:marRight w:val="0"/>
      <w:marTop w:val="0"/>
      <w:marBottom w:val="0"/>
      <w:divBdr>
        <w:top w:val="none" w:sz="0" w:space="0" w:color="auto"/>
        <w:left w:val="none" w:sz="0" w:space="0" w:color="auto"/>
        <w:bottom w:val="none" w:sz="0" w:space="0" w:color="auto"/>
        <w:right w:val="none" w:sz="0" w:space="0" w:color="auto"/>
      </w:divBdr>
      <w:divsChild>
        <w:div w:id="306710108">
          <w:marLeft w:val="0"/>
          <w:marRight w:val="0"/>
          <w:marTop w:val="0"/>
          <w:marBottom w:val="0"/>
          <w:divBdr>
            <w:top w:val="none" w:sz="0" w:space="0" w:color="auto"/>
            <w:left w:val="none" w:sz="0" w:space="0" w:color="auto"/>
            <w:bottom w:val="none" w:sz="0" w:space="0" w:color="auto"/>
            <w:right w:val="none" w:sz="0" w:space="0" w:color="auto"/>
          </w:divBdr>
        </w:div>
      </w:divsChild>
    </w:div>
    <w:div w:id="2015955275">
      <w:bodyDiv w:val="1"/>
      <w:marLeft w:val="0"/>
      <w:marRight w:val="0"/>
      <w:marTop w:val="0"/>
      <w:marBottom w:val="0"/>
      <w:divBdr>
        <w:top w:val="none" w:sz="0" w:space="0" w:color="auto"/>
        <w:left w:val="none" w:sz="0" w:space="0" w:color="auto"/>
        <w:bottom w:val="none" w:sz="0" w:space="0" w:color="auto"/>
        <w:right w:val="none" w:sz="0" w:space="0" w:color="auto"/>
      </w:divBdr>
      <w:divsChild>
        <w:div w:id="733312278">
          <w:marLeft w:val="0"/>
          <w:marRight w:val="0"/>
          <w:marTop w:val="0"/>
          <w:marBottom w:val="0"/>
          <w:divBdr>
            <w:top w:val="none" w:sz="0" w:space="0" w:color="auto"/>
            <w:left w:val="none" w:sz="0" w:space="0" w:color="auto"/>
            <w:bottom w:val="none" w:sz="0" w:space="0" w:color="auto"/>
            <w:right w:val="none" w:sz="0" w:space="0" w:color="auto"/>
          </w:divBdr>
        </w:div>
      </w:divsChild>
    </w:div>
    <w:div w:id="2032416383">
      <w:bodyDiv w:val="1"/>
      <w:marLeft w:val="0"/>
      <w:marRight w:val="0"/>
      <w:marTop w:val="0"/>
      <w:marBottom w:val="0"/>
      <w:divBdr>
        <w:top w:val="none" w:sz="0" w:space="0" w:color="auto"/>
        <w:left w:val="none" w:sz="0" w:space="0" w:color="auto"/>
        <w:bottom w:val="none" w:sz="0" w:space="0" w:color="auto"/>
        <w:right w:val="none" w:sz="0" w:space="0" w:color="auto"/>
      </w:divBdr>
    </w:div>
    <w:div w:id="2037267527">
      <w:bodyDiv w:val="1"/>
      <w:marLeft w:val="0"/>
      <w:marRight w:val="0"/>
      <w:marTop w:val="0"/>
      <w:marBottom w:val="0"/>
      <w:divBdr>
        <w:top w:val="none" w:sz="0" w:space="0" w:color="auto"/>
        <w:left w:val="none" w:sz="0" w:space="0" w:color="auto"/>
        <w:bottom w:val="none" w:sz="0" w:space="0" w:color="auto"/>
        <w:right w:val="none" w:sz="0" w:space="0" w:color="auto"/>
      </w:divBdr>
    </w:div>
    <w:div w:id="2040619411">
      <w:bodyDiv w:val="1"/>
      <w:marLeft w:val="0"/>
      <w:marRight w:val="0"/>
      <w:marTop w:val="0"/>
      <w:marBottom w:val="0"/>
      <w:divBdr>
        <w:top w:val="none" w:sz="0" w:space="0" w:color="auto"/>
        <w:left w:val="none" w:sz="0" w:space="0" w:color="auto"/>
        <w:bottom w:val="none" w:sz="0" w:space="0" w:color="auto"/>
        <w:right w:val="none" w:sz="0" w:space="0" w:color="auto"/>
      </w:divBdr>
      <w:divsChild>
        <w:div w:id="29305235">
          <w:marLeft w:val="0"/>
          <w:marRight w:val="0"/>
          <w:marTop w:val="0"/>
          <w:marBottom w:val="0"/>
          <w:divBdr>
            <w:top w:val="none" w:sz="0" w:space="0" w:color="auto"/>
            <w:left w:val="none" w:sz="0" w:space="0" w:color="auto"/>
            <w:bottom w:val="none" w:sz="0" w:space="0" w:color="auto"/>
            <w:right w:val="none" w:sz="0" w:space="0" w:color="auto"/>
          </w:divBdr>
        </w:div>
      </w:divsChild>
    </w:div>
    <w:div w:id="2043019386">
      <w:bodyDiv w:val="1"/>
      <w:marLeft w:val="0"/>
      <w:marRight w:val="0"/>
      <w:marTop w:val="0"/>
      <w:marBottom w:val="0"/>
      <w:divBdr>
        <w:top w:val="none" w:sz="0" w:space="0" w:color="auto"/>
        <w:left w:val="none" w:sz="0" w:space="0" w:color="auto"/>
        <w:bottom w:val="none" w:sz="0" w:space="0" w:color="auto"/>
        <w:right w:val="none" w:sz="0" w:space="0" w:color="auto"/>
      </w:divBdr>
      <w:divsChild>
        <w:div w:id="1235386340">
          <w:marLeft w:val="0"/>
          <w:marRight w:val="0"/>
          <w:marTop w:val="0"/>
          <w:marBottom w:val="0"/>
          <w:divBdr>
            <w:top w:val="none" w:sz="0" w:space="0" w:color="auto"/>
            <w:left w:val="none" w:sz="0" w:space="0" w:color="auto"/>
            <w:bottom w:val="none" w:sz="0" w:space="0" w:color="auto"/>
            <w:right w:val="none" w:sz="0" w:space="0" w:color="auto"/>
          </w:divBdr>
        </w:div>
      </w:divsChild>
    </w:div>
    <w:div w:id="2044482080">
      <w:bodyDiv w:val="1"/>
      <w:marLeft w:val="0"/>
      <w:marRight w:val="0"/>
      <w:marTop w:val="0"/>
      <w:marBottom w:val="0"/>
      <w:divBdr>
        <w:top w:val="none" w:sz="0" w:space="0" w:color="auto"/>
        <w:left w:val="none" w:sz="0" w:space="0" w:color="auto"/>
        <w:bottom w:val="none" w:sz="0" w:space="0" w:color="auto"/>
        <w:right w:val="none" w:sz="0" w:space="0" w:color="auto"/>
      </w:divBdr>
    </w:div>
    <w:div w:id="2068990518">
      <w:bodyDiv w:val="1"/>
      <w:marLeft w:val="0"/>
      <w:marRight w:val="0"/>
      <w:marTop w:val="0"/>
      <w:marBottom w:val="0"/>
      <w:divBdr>
        <w:top w:val="none" w:sz="0" w:space="0" w:color="auto"/>
        <w:left w:val="none" w:sz="0" w:space="0" w:color="auto"/>
        <w:bottom w:val="none" w:sz="0" w:space="0" w:color="auto"/>
        <w:right w:val="none" w:sz="0" w:space="0" w:color="auto"/>
      </w:divBdr>
    </w:div>
    <w:div w:id="2071995044">
      <w:bodyDiv w:val="1"/>
      <w:marLeft w:val="0"/>
      <w:marRight w:val="0"/>
      <w:marTop w:val="0"/>
      <w:marBottom w:val="0"/>
      <w:divBdr>
        <w:top w:val="none" w:sz="0" w:space="0" w:color="auto"/>
        <w:left w:val="none" w:sz="0" w:space="0" w:color="auto"/>
        <w:bottom w:val="none" w:sz="0" w:space="0" w:color="auto"/>
        <w:right w:val="none" w:sz="0" w:space="0" w:color="auto"/>
      </w:divBdr>
      <w:divsChild>
        <w:div w:id="2108311704">
          <w:marLeft w:val="0"/>
          <w:marRight w:val="0"/>
          <w:marTop w:val="0"/>
          <w:marBottom w:val="0"/>
          <w:divBdr>
            <w:top w:val="none" w:sz="0" w:space="0" w:color="auto"/>
            <w:left w:val="none" w:sz="0" w:space="0" w:color="auto"/>
            <w:bottom w:val="none" w:sz="0" w:space="0" w:color="auto"/>
            <w:right w:val="none" w:sz="0" w:space="0" w:color="auto"/>
          </w:divBdr>
        </w:div>
      </w:divsChild>
    </w:div>
    <w:div w:id="2089224204">
      <w:bodyDiv w:val="1"/>
      <w:marLeft w:val="0"/>
      <w:marRight w:val="0"/>
      <w:marTop w:val="0"/>
      <w:marBottom w:val="0"/>
      <w:divBdr>
        <w:top w:val="none" w:sz="0" w:space="0" w:color="auto"/>
        <w:left w:val="none" w:sz="0" w:space="0" w:color="auto"/>
        <w:bottom w:val="none" w:sz="0" w:space="0" w:color="auto"/>
        <w:right w:val="none" w:sz="0" w:space="0" w:color="auto"/>
      </w:divBdr>
    </w:div>
    <w:div w:id="2106000877">
      <w:bodyDiv w:val="1"/>
      <w:marLeft w:val="0"/>
      <w:marRight w:val="0"/>
      <w:marTop w:val="0"/>
      <w:marBottom w:val="0"/>
      <w:divBdr>
        <w:top w:val="none" w:sz="0" w:space="0" w:color="auto"/>
        <w:left w:val="none" w:sz="0" w:space="0" w:color="auto"/>
        <w:bottom w:val="none" w:sz="0" w:space="0" w:color="auto"/>
        <w:right w:val="none" w:sz="0" w:space="0" w:color="auto"/>
      </w:divBdr>
    </w:div>
    <w:div w:id="2146312003">
      <w:bodyDiv w:val="1"/>
      <w:marLeft w:val="0"/>
      <w:marRight w:val="0"/>
      <w:marTop w:val="0"/>
      <w:marBottom w:val="0"/>
      <w:divBdr>
        <w:top w:val="none" w:sz="0" w:space="0" w:color="auto"/>
        <w:left w:val="none" w:sz="0" w:space="0" w:color="auto"/>
        <w:bottom w:val="none" w:sz="0" w:space="0" w:color="auto"/>
        <w:right w:val="none" w:sz="0" w:space="0" w:color="auto"/>
      </w:divBdr>
      <w:divsChild>
        <w:div w:id="1888103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https://legalinstruments.oecd.org/en/instruments/OECD-LEGAL-0188"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w3.org/TR/2022/REC-vc-data-model-20220303/"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w3.org/TR/2022/REC-vc-data-model-2022030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eumonitor.eu/9353000/1/j9vvik7m1c3gyxp/vha0t8afc0ya" TargetMode="External"/><Relationship Id="rId21" Type="http://schemas.openxmlformats.org/officeDocument/2006/relationships/hyperlink" Target="https://digital-strategy.ec.europa.eu/en/library/european-digital-identity-wallet-architecture-and-reference-framework" TargetMode="External"/><Relationship Id="rId42" Type="http://schemas.openxmlformats.org/officeDocument/2006/relationships/hyperlink" Target="https://www.developer.tech.gov.sg/assets/files/GovTech%20World%20Bank%20NDI%20APEX%20report.pdf" TargetMode="External"/><Relationship Id="rId47" Type="http://schemas.openxmlformats.org/officeDocument/2006/relationships/hyperlink" Target="https://www.biometricupdate.com/202303/banks-hit-with-biometric-fraud-fake-mobile-drivers-licenses" TargetMode="External"/><Relationship Id="rId63" Type="http://schemas.openxmlformats.org/officeDocument/2006/relationships/hyperlink" Target="https://openwallet.foundation/" TargetMode="External"/><Relationship Id="rId68" Type="http://schemas.openxmlformats.org/officeDocument/2006/relationships/hyperlink" Target="https://openid.net/" TargetMode="External"/><Relationship Id="rId84" Type="http://schemas.openxmlformats.org/officeDocument/2006/relationships/hyperlink" Target="https://id4d.worldbank.org/guide/creating-good-id-system-presents-risks-and-challenges-there-are-common-success-factors" TargetMode="External"/><Relationship Id="rId89" Type="http://schemas.openxmlformats.org/officeDocument/2006/relationships/hyperlink" Target="https://eprint.iacr.org/2020/1381" TargetMode="External"/><Relationship Id="rId112" Type="http://schemas.openxmlformats.org/officeDocument/2006/relationships/hyperlink" Target="https://datatracker.ietf.org/doc/draft-ietf-oauth-selective-disclosure-jwt/" TargetMode="External"/><Relationship Id="rId16" Type="http://schemas.openxmlformats.org/officeDocument/2006/relationships/hyperlink" Target="https://doi.org/10.1007/s11845-019-01980-2" TargetMode="External"/><Relationship Id="rId107" Type="http://schemas.openxmlformats.org/officeDocument/2006/relationships/hyperlink" Target="https://i.blackhat.com/USA-19/Thursday/us-19-Pavur-GDPArrrrr-Using-Privacy-Laws-To-Steal-Identities-wp.pdf" TargetMode="External"/><Relationship Id="rId11" Type="http://schemas.openxmlformats.org/officeDocument/2006/relationships/hyperlink" Target="https://www.iso.org/standard/76559.html" TargetMode="External"/><Relationship Id="rId32" Type="http://schemas.openxmlformats.org/officeDocument/2006/relationships/hyperlink" Target="https://www.msn.com/en-in/money/news/aadhaar-a-bedrock-for-govt-welfare-schemes-saved-over-rs-2-lakh-crore-niti-aayog/ar-AAXZ6YM" TargetMode="External"/><Relationship Id="rId37" Type="http://schemas.openxmlformats.org/officeDocument/2006/relationships/hyperlink" Target="https://www.biometricupdate.com/202205/italian-national-digital-id-scheme-reaches-30-million-users-milestone" TargetMode="External"/><Relationship Id="rId53" Type="http://schemas.openxmlformats.org/officeDocument/2006/relationships/hyperlink" Target="https://www.azmirror.com/2022/03/25/apple-digital-drivers-license-in-arizona-raise-privacy-concerns/" TargetMode="External"/><Relationship Id="rId58" Type="http://schemas.openxmlformats.org/officeDocument/2006/relationships/hyperlink" Target="https://www.weforum.org/reports/the-global-risks-report-2019/" TargetMode="External"/><Relationship Id="rId74" Type="http://schemas.openxmlformats.org/officeDocument/2006/relationships/hyperlink" Target="https://iapp.org/news/a/successful-adoption-of-mobile-id-hinges-largely-on-protection-of-citizen-privacy/" TargetMode="External"/><Relationship Id="rId79" Type="http://schemas.openxmlformats.org/officeDocument/2006/relationships/hyperlink" Target="https://doi.org/10.6028/NIST.SP.800-63-3" TargetMode="External"/><Relationship Id="rId102" Type="http://schemas.openxmlformats.org/officeDocument/2006/relationships/hyperlink" Target="https://www.smartnation.gov.sg/about-smart-nation/secure-smart-nation/personal-data-protection-laws-and-policies" TargetMode="External"/><Relationship Id="rId5" Type="http://schemas.openxmlformats.org/officeDocument/2006/relationships/hyperlink" Target="https://risk.lexisnexis.com/insights-resources/research/us-ca-true-cost-of-fraud-study" TargetMode="External"/><Relationship Id="rId90" Type="http://schemas.openxmlformats.org/officeDocument/2006/relationships/hyperlink" Target="https://www.congress.gov/bill/116th-congress/senate-bill/4400" TargetMode="External"/><Relationship Id="rId95" Type="http://schemas.openxmlformats.org/officeDocument/2006/relationships/hyperlink" Target="https://openid.net/wg/ekyc-ida/" TargetMode="External"/><Relationship Id="rId22" Type="http://schemas.openxmlformats.org/officeDocument/2006/relationships/hyperlink" Target="https://ec.europa.eu/info/funding-tenders/opportunities/portal/screen/opportunities/topic-details/digital-2022-deploy-02-electronic-id" TargetMode="External"/><Relationship Id="rId27" Type="http://schemas.openxmlformats.org/officeDocument/2006/relationships/hyperlink" Target="https://uidai.gov.in/en/" TargetMode="External"/><Relationship Id="rId43" Type="http://schemas.openxmlformats.org/officeDocument/2006/relationships/hyperlink" Target="https://www.biometricupdate.com/202207/singpass-incorporates-digital-identity-card-saves-36-per-onboarding-considers-decentralization" TargetMode="External"/><Relationship Id="rId48" Type="http://schemas.openxmlformats.org/officeDocument/2006/relationships/hyperlink" Target="https://dcist.com/story/22/05/26/maryland-digital-drivers-license/" TargetMode="External"/><Relationship Id="rId64" Type="http://schemas.openxmlformats.org/officeDocument/2006/relationships/hyperlink" Target="https://wiki.oasis-open.org/security/FrontPage" TargetMode="External"/><Relationship Id="rId69" Type="http://schemas.openxmlformats.org/officeDocument/2006/relationships/hyperlink" Target="https://openid.net/specs/openid-connect-core-1_0.html" TargetMode="External"/><Relationship Id="rId113" Type="http://schemas.openxmlformats.org/officeDocument/2006/relationships/hyperlink" Target="https://openid.net/openid4vc/" TargetMode="External"/><Relationship Id="rId80" Type="http://schemas.openxmlformats.org/officeDocument/2006/relationships/hyperlink" Target="https://doi.org/10.6028/NIST.SP.800-63a" TargetMode="External"/><Relationship Id="rId85" Type="http://schemas.openxmlformats.org/officeDocument/2006/relationships/hyperlink" Target="https://www.w3.org/TR/vc-data-model" TargetMode="External"/><Relationship Id="rId12" Type="http://schemas.openxmlformats.org/officeDocument/2006/relationships/hyperlink" Target="https://www.iso.org/standard/71670.html" TargetMode="External"/><Relationship Id="rId17" Type="http://schemas.openxmlformats.org/officeDocument/2006/relationships/hyperlink" Target="https://doi.org/10.1080/17441056.2020.1848059" TargetMode="External"/><Relationship Id="rId33" Type="http://schemas.openxmlformats.org/officeDocument/2006/relationships/hyperlink" Target="https://www.uidai.gov.in/en/16-english-uk/aapka-aadhaar/1035-view-all-services.html" TargetMode="External"/><Relationship Id="rId38" Type="http://schemas.openxmlformats.org/officeDocument/2006/relationships/hyperlink" Target="https://kb.nimc.gov.ng" TargetMode="External"/><Relationship Id="rId59" Type="http://schemas.openxmlformats.org/officeDocument/2006/relationships/hyperlink" Target="https://www.bqprime.com/aadhaar/aadhaar-a-quick-summary-of-the-supreme-court-majority-order" TargetMode="External"/><Relationship Id="rId103" Type="http://schemas.openxmlformats.org/officeDocument/2006/relationships/hyperlink" Target="https://news.smu.edu.sg/news/2019/05/13/where-does-privacy-stand-age-social-media-and-data-breaches" TargetMode="External"/><Relationship Id="rId108" Type="http://schemas.openxmlformats.org/officeDocument/2006/relationships/hyperlink" Target="https://publicadministration.un.org/egovkb/en-us/Reports/UN-E-Government-Survey-2022" TargetMode="External"/><Relationship Id="rId54" Type="http://schemas.openxmlformats.org/officeDocument/2006/relationships/hyperlink" Target="https://www.biometricupdate.com/202208/mobile-driving-licenses-live-in-utah-arizona-for-credit-union-transactions" TargetMode="External"/><Relationship Id="rId70" Type="http://schemas.openxmlformats.org/officeDocument/2006/relationships/hyperlink" Target="https://openid.net/openid4vc/" TargetMode="External"/><Relationship Id="rId75" Type="http://schemas.openxmlformats.org/officeDocument/2006/relationships/hyperlink" Target="https://www.iso.org/standard/71671.html" TargetMode="External"/><Relationship Id="rId91" Type="http://schemas.openxmlformats.org/officeDocument/2006/relationships/hyperlink" Target="https://iapp.org/news/a/processing-biometric-data-be-careful-under-the-gdpr/" TargetMode="External"/><Relationship Id="rId96" Type="http://schemas.openxmlformats.org/officeDocument/2006/relationships/hyperlink" Target="https://danielfett.de/download/oidc-advanced-syntax-for-claims.pdf" TargetMode="External"/><Relationship Id="rId1" Type="http://schemas.openxmlformats.org/officeDocument/2006/relationships/hyperlink" Target="https://www.moneylife.in/article/aadhaar-data-breach-largest-in-the-world-says-wefs-global-risk-report-and-avast/56384.html" TargetMode="External"/><Relationship Id="rId6" Type="http://schemas.openxmlformats.org/officeDocument/2006/relationships/hyperlink" Target="https://privacyinternational.org/long-read/4656/digital-national-id-systems-ways-shapes-and-forms" TargetMode="External"/><Relationship Id="rId15" Type="http://schemas.openxmlformats.org/officeDocument/2006/relationships/hyperlink" Target="https://doi.org/10.1287/mksc.2021.1339" TargetMode="External"/><Relationship Id="rId23" Type="http://schemas.openxmlformats.org/officeDocument/2006/relationships/hyperlink" Target="https://ec.europa.eu/commission/presscorner/detail/en/ip_21_2663" TargetMode="External"/><Relationship Id="rId28" Type="http://schemas.openxmlformats.org/officeDocument/2006/relationships/hyperlink" Target="https://uidai.gov.in/images/news/Judgement_26-Sep-2018.pdf" TargetMode="External"/><Relationship Id="rId36" Type="http://schemas.openxmlformats.org/officeDocument/2006/relationships/hyperlink" Target="https://www.agid.gov.it/en/platforms/spid" TargetMode="External"/><Relationship Id="rId49" Type="http://schemas.openxmlformats.org/officeDocument/2006/relationships/hyperlink" Target="http://mgaleg.maryland.gov/mgawebsite/Laws/StatuteText?article=gcl" TargetMode="External"/><Relationship Id="rId57" Type="http://schemas.openxmlformats.org/officeDocument/2006/relationships/hyperlink" Target="https://digital-strategy.ec.europa.eu/en/library/european-digital-identity-wallet-architecture-and-reference-framework" TargetMode="External"/><Relationship Id="rId106" Type="http://schemas.openxmlformats.org/officeDocument/2006/relationships/hyperlink" Target="https://iapp.org/resources/article/us-state-privacy-legislation-tracker/" TargetMode="External"/><Relationship Id="rId114" Type="http://schemas.openxmlformats.org/officeDocument/2006/relationships/hyperlink" Target="https://datatracker.ietf.org/rg/pearg/about/" TargetMode="External"/><Relationship Id="rId10" Type="http://schemas.openxmlformats.org/officeDocument/2006/relationships/hyperlink" Target="https://www.iso.org/standard/45123.html" TargetMode="External"/><Relationship Id="rId31" Type="http://schemas.openxmlformats.org/officeDocument/2006/relationships/hyperlink" Target="https://doi.org/10.1109/pdgc.2018.8745836" TargetMode="External"/><Relationship Id="rId44" Type="http://schemas.openxmlformats.org/officeDocument/2006/relationships/hyperlink" Target="https://www.dhs.gov/science-and-technology/news/2019/11/14/news-release-dhs-awards-181k-verify-digital-credentials" TargetMode="External"/><Relationship Id="rId52" Type="http://schemas.openxmlformats.org/officeDocument/2006/relationships/hyperlink" Target="https://az.gov/policy/privacy" TargetMode="External"/><Relationship Id="rId60" Type="http://schemas.openxmlformats.org/officeDocument/2006/relationships/hyperlink" Target="http://Namirial.Com" TargetMode="External"/><Relationship Id="rId65" Type="http://schemas.openxmlformats.org/officeDocument/2006/relationships/hyperlink" Target="https://doi.org/10.55621/idpro.45" TargetMode="External"/><Relationship Id="rId73" Type="http://schemas.openxmlformats.org/officeDocument/2006/relationships/hyperlink" Target="https://www.iso.org/standard/45123.html" TargetMode="External"/><Relationship Id="rId78" Type="http://schemas.openxmlformats.org/officeDocument/2006/relationships/hyperlink" Target="https://doi.org/10.6028/NIST.SP.800-63c" TargetMode="External"/><Relationship Id="rId81" Type="http://schemas.openxmlformats.org/officeDocument/2006/relationships/hyperlink" Target="https://kantara.atlassian.net/wiki/spaces/LC/pages/1737392/Identity+Assurance+Framework" TargetMode="External"/><Relationship Id="rId86" Type="http://schemas.openxmlformats.org/officeDocument/2006/relationships/hyperlink" Target="https://www.iso.org/standard/73514.html" TargetMode="External"/><Relationship Id="rId94" Type="http://schemas.openxmlformats.org/officeDocument/2006/relationships/hyperlink" Target="https://www.w3.org/TR/vc-data-model" TargetMode="External"/><Relationship Id="rId99" Type="http://schemas.openxmlformats.org/officeDocument/2006/relationships/hyperlink" Target="https://www.medianama.com/2022/12/223-dpdp-bill-2022-enables-govt-surveillance-discussion/" TargetMode="External"/><Relationship Id="rId101" Type="http://schemas.openxmlformats.org/officeDocument/2006/relationships/hyperlink" Target="https://www.dataguidance.com/notes/singapore-data-protection-overview" TargetMode="External"/><Relationship Id="rId4" Type="http://schemas.openxmlformats.org/officeDocument/2006/relationships/hyperlink" Target="https://privacyrights.org/resources/should-i-give-my-id-dating-websiteapp" TargetMode="External"/><Relationship Id="rId9" Type="http://schemas.openxmlformats.org/officeDocument/2006/relationships/hyperlink" Target="https://one.oecd.org/document/C(2021)42/en/pdf" TargetMode="External"/><Relationship Id="rId13" Type="http://schemas.openxmlformats.org/officeDocument/2006/relationships/hyperlink" Target="https://github.com/microsoft/data-protection-mapping-project" TargetMode="External"/><Relationship Id="rId18" Type="http://schemas.openxmlformats.org/officeDocument/2006/relationships/hyperlink" Target="http://data.europa.eu/eli/dir/2022/2555/oj" TargetMode="External"/><Relationship Id="rId39" Type="http://schemas.openxmlformats.org/officeDocument/2006/relationships/hyperlink" Target="https://www.singpass.gov.sg/main/" TargetMode="External"/><Relationship Id="rId109" Type="http://schemas.openxmlformats.org/officeDocument/2006/relationships/hyperlink" Target="http://data.europa.eu/eli/dir/2022/2555/oj" TargetMode="External"/><Relationship Id="rId34" Type="http://schemas.openxmlformats.org/officeDocument/2006/relationships/hyperlink" Target="https://doi.org/10.4000/samaj.6279" TargetMode="External"/><Relationship Id="rId50" Type="http://schemas.openxmlformats.org/officeDocument/2006/relationships/hyperlink" Target="https://mva.maryland.gov/Documents/mDL-Terms-and-Conditions.pdf" TargetMode="External"/><Relationship Id="rId55" Type="http://schemas.openxmlformats.org/officeDocument/2006/relationships/hyperlink" Target="https://www.deseret.com/utah/2022/2/8/22923842/misinformation-conspiracy-theories-utah-legislature-united-nations-salt-lake-city-digital-ids" TargetMode="External"/><Relationship Id="rId76" Type="http://schemas.openxmlformats.org/officeDocument/2006/relationships/hyperlink" Target="https://www.iso.org/standard/82891.html" TargetMode="External"/><Relationship Id="rId97" Type="http://schemas.openxmlformats.org/officeDocument/2006/relationships/hyperlink" Target="https://instituteforlegalreform.com/research/ilr-briefly-a-bad-match-illinois-and-the-biometric-information-privacy-act/" TargetMode="External"/><Relationship Id="rId104" Type="http://schemas.openxmlformats.org/officeDocument/2006/relationships/hyperlink" Target="https://newnaratif.com/the-use-and-abuse-of-personal-data-by-the-pap-government/" TargetMode="External"/><Relationship Id="rId7" Type="http://schemas.openxmlformats.org/officeDocument/2006/relationships/hyperlink" Target="https://doi.org/10.1080/13642987.2020.1789109" TargetMode="External"/><Relationship Id="rId71" Type="http://schemas.openxmlformats.org/officeDocument/2006/relationships/hyperlink" Target="https://www.w3.org/TR/vc-data-model" TargetMode="External"/><Relationship Id="rId92" Type="http://schemas.openxmlformats.org/officeDocument/2006/relationships/hyperlink" Target="https://www.hrw.org/news/2018/06/06/eu-general-data-protection-regulation" TargetMode="External"/><Relationship Id="rId2" Type="http://schemas.openxmlformats.org/officeDocument/2006/relationships/hyperlink" Target="https://www.digitalguardian.com/blog/top-10-biggest-us-government-data-breaches-all-time" TargetMode="External"/><Relationship Id="rId29" Type="http://schemas.openxmlformats.org/officeDocument/2006/relationships/hyperlink" Target="https://www.scobserver.in/cases/puttaswamy-v-union-of-india-constitutionality-of-aadhaar-act-case-background/" TargetMode="External"/><Relationship Id="rId24" Type="http://schemas.openxmlformats.org/officeDocument/2006/relationships/hyperlink" Target="https://blog.xot.nl/2023/02/14/analysing-the-architecture-of-the-european-digital-identity-framework/index.html" TargetMode="External"/><Relationship Id="rId40" Type="http://schemas.openxmlformats.org/officeDocument/2006/relationships/hyperlink" Target="https://www.smartnation.gov.sg/media-hub/press-releases/singpass-factsheet-02032022" TargetMode="External"/><Relationship Id="rId45" Type="http://schemas.openxmlformats.org/officeDocument/2006/relationships/hyperlink" Target="https://www.aamva.org/" TargetMode="External"/><Relationship Id="rId66" Type="http://schemas.openxmlformats.org/officeDocument/2006/relationships/hyperlink" Target="https://datatracker.ietf.org/wg/oauth/documents/" TargetMode="External"/><Relationship Id="rId87" Type="http://schemas.openxmlformats.org/officeDocument/2006/relationships/hyperlink" Target="https://auth0.com/blog/a-tale-of-two-biometrics-styles/" TargetMode="External"/><Relationship Id="rId110" Type="http://schemas.openxmlformats.org/officeDocument/2006/relationships/hyperlink" Target="https://www.nist.gov/cyberframework" TargetMode="External"/><Relationship Id="rId61" Type="http://schemas.openxmlformats.org/officeDocument/2006/relationships/hyperlink" Target="https://www.namirial.com/en/news/digital-identity-state-of-play-italy-end-of-2022/" TargetMode="External"/><Relationship Id="rId82" Type="http://schemas.openxmlformats.org/officeDocument/2006/relationships/hyperlink" Target="https://openid.net/specs/openid-connect-4-identity-assurance-1_0.html" TargetMode="External"/><Relationship Id="rId19" Type="http://schemas.openxmlformats.org/officeDocument/2006/relationships/hyperlink" Target="https://www.isaca.org/resources/news-and-trends/isaca-now-blog/2021/the-influence-of-the-nis2-directive-in-and-outside-of-the-eu" TargetMode="External"/><Relationship Id="rId14" Type="http://schemas.openxmlformats.org/officeDocument/2006/relationships/hyperlink" Target="https://commission.europa.eu/law/law-topic/data-protection/international-dimension-data-protection/adequacy-decisions_en" TargetMode="External"/><Relationship Id="rId30" Type="http://schemas.openxmlformats.org/officeDocument/2006/relationships/hyperlink" Target="https://doi.org/10.1007/978-3-030-14540-8_11" TargetMode="External"/><Relationship Id="rId35" Type="http://schemas.openxmlformats.org/officeDocument/2006/relationships/hyperlink" Target="https://www.biometricupdate.com/202206/maturing-mosip-enjoys-id4africa-limelight-as-it-expands-its-partnerships-and-vendors-flock" TargetMode="External"/><Relationship Id="rId56" Type="http://schemas.openxmlformats.org/officeDocument/2006/relationships/hyperlink" Target="https://le.utah.gov/~2022/bills/static/SB0088.html" TargetMode="External"/><Relationship Id="rId77" Type="http://schemas.openxmlformats.org/officeDocument/2006/relationships/hyperlink" Target="https://www.iso.org/standard/53227.html" TargetMode="External"/><Relationship Id="rId100" Type="http://schemas.openxmlformats.org/officeDocument/2006/relationships/hyperlink" Target="https://iapp.org/news/a/indias-digital-personal-data-protection-bill-2022-does-it-overhaul-the-former-pdpb/" TargetMode="External"/><Relationship Id="rId105" Type="http://schemas.openxmlformats.org/officeDocument/2006/relationships/hyperlink" Target="https://www.mwe.com/insights/regulating-cybersecurity-across-the-eu-and-the-uk/" TargetMode="External"/><Relationship Id="rId8" Type="http://schemas.openxmlformats.org/officeDocument/2006/relationships/hyperlink" Target="https://legalinstruments.oecd.org/en/instruments/OECD-LEGAL-0188" TargetMode="External"/><Relationship Id="rId51" Type="http://schemas.openxmlformats.org/officeDocument/2006/relationships/hyperlink" Target="https://azdot.gov/adot-news/arizonans-are-first-nation-add-driver-licenses-apple-wallet" TargetMode="External"/><Relationship Id="rId72" Type="http://schemas.openxmlformats.org/officeDocument/2006/relationships/hyperlink" Target="https://ec.europa.eu/digital-building-blocks/wikis/display/EBSI/Verifiable+Credentials+Success+Stories" TargetMode="External"/><Relationship Id="rId93" Type="http://schemas.openxmlformats.org/officeDocument/2006/relationships/hyperlink" Target="https://www.rfc-editor.org/info/rfc6973" TargetMode="External"/><Relationship Id="rId98" Type="http://schemas.openxmlformats.org/officeDocument/2006/relationships/hyperlink" Target="https://www.ilga.gov/legislation/ilcs/ilcs3.asp?ActID=3004&amp;ChapterID=57" TargetMode="External"/><Relationship Id="rId3" Type="http://schemas.openxmlformats.org/officeDocument/2006/relationships/hyperlink" Target="http://PrivacyRights.Org" TargetMode="External"/><Relationship Id="rId25" Type="http://schemas.openxmlformats.org/officeDocument/2006/relationships/hyperlink" Target="https://en.epicenter.works/content/eidas-20-unprecedented-risk-for-privacy" TargetMode="External"/><Relationship Id="rId46" Type="http://schemas.openxmlformats.org/officeDocument/2006/relationships/hyperlink" Target="https://www.aamva.org/topics/mobile-driver-license" TargetMode="External"/><Relationship Id="rId67" Type="http://schemas.openxmlformats.org/officeDocument/2006/relationships/hyperlink" Target="https://oauth.net/articles/authentication/" TargetMode="External"/><Relationship Id="rId20" Type="http://schemas.openxmlformats.org/officeDocument/2006/relationships/hyperlink" Target="https://secureidentityalliance.org/utilities/news-en/entry/giving-voice-to-digital-identities-worldwide-1-1" TargetMode="External"/><Relationship Id="rId41" Type="http://schemas.openxmlformats.org/officeDocument/2006/relationships/hyperlink" Target="https://www.developer.tech.gov.sg/assets/files/GovTech%20World%20Bank%20NDI%20APEX%20report.pdf" TargetMode="External"/><Relationship Id="rId62" Type="http://schemas.openxmlformats.org/officeDocument/2006/relationships/hyperlink" Target="https://teachprivacy.com/murky-consent-an-approach-to-the-fictions-of-consent-in-privacy-law/" TargetMode="External"/><Relationship Id="rId83" Type="http://schemas.openxmlformats.org/officeDocument/2006/relationships/hyperlink" Target="https://doi.org/10.3390/app122412679" TargetMode="External"/><Relationship Id="rId88" Type="http://schemas.openxmlformats.org/officeDocument/2006/relationships/hyperlink" Target="https://doi.org/10.1016/j.measen.2022.100511" TargetMode="External"/><Relationship Id="rId111" Type="http://schemas.openxmlformats.org/officeDocument/2006/relationships/hyperlink" Target="https://www.diva-portal.org/smash/get/diva2:1306652/FULLTEXT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55BCD0-A4D2-F04C-A309-877C2A69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23252</Words>
  <Characters>132537</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Flanagan</dc:creator>
  <cp:keywords/>
  <dc:description/>
  <cp:lastModifiedBy>Heather Flanagan</cp:lastModifiedBy>
  <cp:revision>3</cp:revision>
  <dcterms:created xsi:type="dcterms:W3CDTF">2023-05-04T15:24:00Z</dcterms:created>
  <dcterms:modified xsi:type="dcterms:W3CDTF">2023-05-04T15:26:00Z</dcterms:modified>
</cp:coreProperties>
</file>