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86AD4" w14:textId="5426B4AB" w:rsidR="00590E73" w:rsidRDefault="00B17EC4" w:rsidP="00CC2B48">
      <w:pPr>
        <w:spacing w:line="276" w:lineRule="auto"/>
        <w:rPr>
          <w:rStyle w:val="TitleChar"/>
        </w:rPr>
      </w:pPr>
      <w:r w:rsidRPr="00243142">
        <w:rPr>
          <w:rStyle w:val="TitleChar"/>
        </w:rPr>
        <w:t xml:space="preserve">Transparency Performance </w:t>
      </w:r>
      <w:r w:rsidR="007371EC">
        <w:rPr>
          <w:rStyle w:val="TitleChar"/>
        </w:rPr>
        <w:t>Indicators</w:t>
      </w:r>
      <w:r w:rsidRPr="00243142">
        <w:rPr>
          <w:rStyle w:val="TitleChar"/>
        </w:rPr>
        <w:t xml:space="preserve"> </w:t>
      </w:r>
    </w:p>
    <w:p w14:paraId="622E06FD" w14:textId="6D31A870" w:rsidR="00243142" w:rsidRPr="00590E73" w:rsidRDefault="009D16A6" w:rsidP="00916897">
      <w:pPr>
        <w:pStyle w:val="Subtitle"/>
        <w:rPr>
          <w:rFonts w:cs="Arial"/>
          <w:bCs/>
          <w:sz w:val="34"/>
          <w:szCs w:val="34"/>
        </w:rPr>
      </w:pPr>
      <w:r w:rsidRPr="00590E73">
        <w:rPr>
          <w:rStyle w:val="TitleChar"/>
          <w:sz w:val="34"/>
          <w:szCs w:val="34"/>
        </w:rPr>
        <w:t xml:space="preserve">A </w:t>
      </w:r>
      <w:r w:rsidR="007371EC" w:rsidRPr="00590E73">
        <w:rPr>
          <w:rStyle w:val="TitleChar"/>
          <w:sz w:val="34"/>
          <w:szCs w:val="34"/>
        </w:rPr>
        <w:t>Benchmark for Valid</w:t>
      </w:r>
      <w:r w:rsidR="001F27DA">
        <w:rPr>
          <w:rStyle w:val="TitleChar"/>
          <w:sz w:val="34"/>
          <w:szCs w:val="34"/>
        </w:rPr>
        <w:t xml:space="preserve"> Controller</w:t>
      </w:r>
      <w:r w:rsidR="007371EC" w:rsidRPr="00590E73">
        <w:rPr>
          <w:rStyle w:val="TitleChar"/>
          <w:sz w:val="34"/>
          <w:szCs w:val="34"/>
        </w:rPr>
        <w:t xml:space="preserve"> </w:t>
      </w:r>
      <w:r w:rsidR="001F27DA">
        <w:rPr>
          <w:rStyle w:val="TitleChar"/>
          <w:sz w:val="34"/>
          <w:szCs w:val="34"/>
        </w:rPr>
        <w:t xml:space="preserve">Identification &amp; </w:t>
      </w:r>
      <w:r w:rsidR="007371EC" w:rsidRPr="00590E73">
        <w:rPr>
          <w:rStyle w:val="TitleChar"/>
          <w:sz w:val="34"/>
          <w:szCs w:val="34"/>
        </w:rPr>
        <w:t>Consent</w:t>
      </w:r>
      <w:r w:rsidR="0074401E" w:rsidRPr="00590E73">
        <w:rPr>
          <w:rFonts w:cs="Arial"/>
          <w:bCs/>
          <w:sz w:val="34"/>
          <w:szCs w:val="34"/>
        </w:rPr>
        <w:t xml:space="preserve"> </w:t>
      </w:r>
    </w:p>
    <w:p w14:paraId="449C5C4A" w14:textId="02B12D93" w:rsidR="00A92363" w:rsidRDefault="0074401E" w:rsidP="00CC2B48">
      <w:pPr>
        <w:spacing w:line="276" w:lineRule="auto"/>
        <w:rPr>
          <w:rFonts w:cs="Arial"/>
          <w:b/>
          <w:bCs/>
          <w:color w:val="7EA8AD"/>
          <w:sz w:val="40"/>
          <w:szCs w:val="40"/>
        </w:rPr>
      </w:pPr>
      <w:r w:rsidRPr="00243142">
        <w:rPr>
          <w:rStyle w:val="SubtitleChar"/>
        </w:rPr>
        <w:t>A Kantara Initiative Recommendation</w:t>
      </w:r>
      <w:r w:rsidR="00B17EC4">
        <w:rPr>
          <w:rFonts w:cs="Arial"/>
          <w:b/>
          <w:bCs/>
          <w:color w:val="7EA8AD"/>
          <w:sz w:val="40"/>
          <w:szCs w:val="40"/>
        </w:rPr>
        <w:t xml:space="preserve"> </w:t>
      </w:r>
    </w:p>
    <w:p w14:paraId="3D8D6F14" w14:textId="77777777" w:rsidR="00ED4337" w:rsidRDefault="00ED4337">
      <w:pPr>
        <w:rPr>
          <w:rFonts w:cs="Arial"/>
          <w:color w:val="000000" w:themeColor="text1"/>
        </w:rPr>
      </w:pPr>
    </w:p>
    <w:p w14:paraId="75EB3731" w14:textId="71DA3178" w:rsidR="00ED4337" w:rsidRPr="003853C5" w:rsidRDefault="00ED4337" w:rsidP="00243142">
      <w:pPr>
        <w:spacing w:line="276" w:lineRule="auto"/>
        <w:rPr>
          <w:rStyle w:val="VersionNumber"/>
          <w:rFonts w:cs="Arial"/>
          <w:szCs w:val="22"/>
        </w:rPr>
      </w:pPr>
      <w:r w:rsidRPr="003853C5">
        <w:rPr>
          <w:rFonts w:cs="Arial"/>
          <w:b/>
          <w:szCs w:val="22"/>
        </w:rPr>
        <w:t>Version:</w:t>
      </w:r>
      <w:r w:rsidRPr="003853C5">
        <w:rPr>
          <w:rFonts w:cs="Arial"/>
          <w:szCs w:val="22"/>
        </w:rPr>
        <w:tab/>
      </w:r>
      <w:r w:rsidRPr="003853C5">
        <w:rPr>
          <w:rFonts w:cs="Arial"/>
          <w:szCs w:val="22"/>
        </w:rPr>
        <w:tab/>
      </w:r>
      <w:r w:rsidRPr="003853C5">
        <w:rPr>
          <w:rFonts w:cs="Arial"/>
          <w:szCs w:val="22"/>
        </w:rPr>
        <w:tab/>
      </w:r>
      <w:r w:rsidR="007307C0">
        <w:rPr>
          <w:rStyle w:val="VersionNumber"/>
          <w:rFonts w:cs="Arial"/>
          <w:szCs w:val="22"/>
        </w:rPr>
        <w:t>1.0</w:t>
      </w:r>
    </w:p>
    <w:p w14:paraId="05A4251C" w14:textId="77777777" w:rsidR="00ED4337" w:rsidRPr="003853C5" w:rsidRDefault="00ED4337" w:rsidP="00243142">
      <w:pPr>
        <w:spacing w:line="276" w:lineRule="auto"/>
        <w:rPr>
          <w:rFonts w:cs="Arial"/>
          <w:szCs w:val="22"/>
        </w:rPr>
      </w:pPr>
    </w:p>
    <w:p w14:paraId="5BB14657" w14:textId="79B81B42" w:rsidR="00ED4337" w:rsidRPr="003853C5" w:rsidRDefault="00ED4337" w:rsidP="00243142">
      <w:pPr>
        <w:spacing w:line="276" w:lineRule="auto"/>
        <w:rPr>
          <w:rStyle w:val="DocumentDate"/>
          <w:rFonts w:cs="Arial"/>
          <w:szCs w:val="22"/>
        </w:rPr>
      </w:pPr>
      <w:r w:rsidRPr="003853C5">
        <w:rPr>
          <w:rFonts w:cs="Arial"/>
          <w:b/>
          <w:szCs w:val="22"/>
        </w:rPr>
        <w:t>Document Date:</w:t>
      </w:r>
      <w:r w:rsidRPr="003853C5">
        <w:rPr>
          <w:rFonts w:cs="Arial"/>
          <w:szCs w:val="22"/>
        </w:rPr>
        <w:tab/>
      </w:r>
      <w:r w:rsidRPr="003853C5">
        <w:rPr>
          <w:rFonts w:cs="Arial"/>
          <w:szCs w:val="22"/>
        </w:rPr>
        <w:tab/>
      </w:r>
      <w:r w:rsidR="00B17EC4">
        <w:rPr>
          <w:rStyle w:val="DocumentDate"/>
          <w:rFonts w:cs="Arial"/>
          <w:szCs w:val="22"/>
        </w:rPr>
        <w:t>2025-02-12</w:t>
      </w:r>
    </w:p>
    <w:p w14:paraId="2C7B78D4" w14:textId="77777777" w:rsidR="00ED4337" w:rsidRPr="003853C5" w:rsidRDefault="00ED4337" w:rsidP="00243142">
      <w:pPr>
        <w:spacing w:line="276" w:lineRule="auto"/>
        <w:rPr>
          <w:rFonts w:cs="Arial"/>
          <w:szCs w:val="22"/>
        </w:rPr>
      </w:pPr>
    </w:p>
    <w:p w14:paraId="3AE454E4" w14:textId="5523219A" w:rsidR="00ED4337" w:rsidRPr="003853C5" w:rsidRDefault="309E13B8" w:rsidP="00243142">
      <w:pPr>
        <w:spacing w:line="276" w:lineRule="auto"/>
        <w:rPr>
          <w:rFonts w:cs="Arial"/>
        </w:rPr>
      </w:pPr>
      <w:r w:rsidRPr="0C2E1696">
        <w:rPr>
          <w:rFonts w:cs="Arial"/>
          <w:b/>
          <w:bCs/>
        </w:rPr>
        <w:t>Editor</w:t>
      </w:r>
      <w:r w:rsidR="00500DDC">
        <w:rPr>
          <w:rFonts w:cs="Arial"/>
          <w:b/>
          <w:bCs/>
        </w:rPr>
        <w:t>s</w:t>
      </w:r>
      <w:r w:rsidRPr="0C2E1696">
        <w:rPr>
          <w:rFonts w:cs="Arial"/>
          <w:b/>
          <w:bCs/>
        </w:rPr>
        <w:t xml:space="preserve">: </w:t>
      </w:r>
      <w:r w:rsidR="00ED4337">
        <w:tab/>
      </w:r>
      <w:r w:rsidR="00ED4337">
        <w:tab/>
      </w:r>
      <w:r w:rsidR="0074401E">
        <w:tab/>
      </w:r>
      <w:r w:rsidR="00B17EC4" w:rsidRPr="0C2E1696">
        <w:rPr>
          <w:rFonts w:cs="Arial"/>
        </w:rPr>
        <w:t>Mark Lizar</w:t>
      </w:r>
    </w:p>
    <w:p w14:paraId="34FEB123" w14:textId="77777777" w:rsidR="00ED4337" w:rsidRPr="003853C5" w:rsidRDefault="00ED4337" w:rsidP="00243142">
      <w:pPr>
        <w:spacing w:line="276" w:lineRule="auto"/>
        <w:rPr>
          <w:rFonts w:cs="Arial"/>
          <w:szCs w:val="22"/>
        </w:rPr>
      </w:pPr>
    </w:p>
    <w:p w14:paraId="6A43678C" w14:textId="1D3FF490" w:rsidR="00ED4337" w:rsidRPr="003853C5" w:rsidRDefault="00ED4337" w:rsidP="00243142">
      <w:pPr>
        <w:spacing w:line="276" w:lineRule="auto"/>
        <w:ind w:left="2880" w:hanging="2880"/>
        <w:rPr>
          <w:rFonts w:cs="Arial"/>
          <w:b/>
          <w:bCs/>
        </w:rPr>
      </w:pPr>
      <w:r w:rsidRPr="0C2E1696">
        <w:rPr>
          <w:rFonts w:cs="Arial"/>
          <w:b/>
          <w:bCs/>
        </w:rPr>
        <w:t>Contributors:</w:t>
      </w:r>
      <w:r>
        <w:tab/>
      </w:r>
      <w:r w:rsidR="00B17EC4" w:rsidRPr="0C2E1696">
        <w:rPr>
          <w:rFonts w:cs="Arial"/>
        </w:rPr>
        <w:t xml:space="preserve">Gigliolla Agassini, </w:t>
      </w:r>
      <w:r w:rsidR="006C2811" w:rsidRPr="0C2E1696">
        <w:rPr>
          <w:rFonts w:cs="Arial"/>
        </w:rPr>
        <w:t xml:space="preserve">Salvatore D’Agostino, </w:t>
      </w:r>
      <w:r w:rsidR="00B17EC4" w:rsidRPr="0C2E1696">
        <w:rPr>
          <w:rFonts w:cs="Arial"/>
        </w:rPr>
        <w:t>Tim Lloyd, Tim Reiniger, Daniel Schleifer</w:t>
      </w:r>
    </w:p>
    <w:p w14:paraId="5512DCF0" w14:textId="77777777" w:rsidR="00ED4337" w:rsidRPr="003853C5" w:rsidRDefault="00ED4337" w:rsidP="00243142">
      <w:pPr>
        <w:spacing w:line="276" w:lineRule="auto"/>
        <w:rPr>
          <w:rFonts w:cs="Arial"/>
          <w:b/>
          <w:szCs w:val="22"/>
        </w:rPr>
      </w:pPr>
    </w:p>
    <w:p w14:paraId="71EEB059" w14:textId="4FC12F65" w:rsidR="00ED4337" w:rsidRPr="003853C5" w:rsidRDefault="00ED4337" w:rsidP="00243142">
      <w:pPr>
        <w:spacing w:line="276" w:lineRule="auto"/>
        <w:rPr>
          <w:rFonts w:cs="Arial"/>
        </w:rPr>
      </w:pPr>
      <w:r w:rsidRPr="0C2E1696">
        <w:rPr>
          <w:rFonts w:cs="Arial"/>
          <w:b/>
          <w:bCs/>
        </w:rPr>
        <w:t xml:space="preserve">Produced </w:t>
      </w:r>
      <w:r w:rsidR="73371DCB" w:rsidRPr="0C2E1696">
        <w:rPr>
          <w:rFonts w:cs="Arial"/>
          <w:b/>
          <w:bCs/>
        </w:rPr>
        <w:t xml:space="preserve">by: </w:t>
      </w:r>
      <w:r>
        <w:tab/>
      </w:r>
      <w:r>
        <w:tab/>
      </w:r>
      <w:r w:rsidR="00B17EC4" w:rsidRPr="0C2E1696">
        <w:rPr>
          <w:rFonts w:cs="Arial"/>
        </w:rPr>
        <w:t>Anchor</w:t>
      </w:r>
      <w:r w:rsidR="006D5279" w:rsidRPr="0C2E1696">
        <w:rPr>
          <w:rFonts w:cs="Arial"/>
        </w:rPr>
        <w:t>ed</w:t>
      </w:r>
      <w:r w:rsidR="00B17EC4" w:rsidRPr="0C2E1696">
        <w:rPr>
          <w:rFonts w:cs="Arial"/>
        </w:rPr>
        <w:t xml:space="preserve"> Notice and Consent Receipt Work Group (ANCR)</w:t>
      </w:r>
    </w:p>
    <w:p w14:paraId="169A6C43" w14:textId="77777777" w:rsidR="00ED4337" w:rsidRPr="003853C5" w:rsidRDefault="00ED4337" w:rsidP="00243142">
      <w:pPr>
        <w:spacing w:line="276" w:lineRule="auto"/>
        <w:rPr>
          <w:rFonts w:cs="Arial"/>
          <w:szCs w:val="22"/>
        </w:rPr>
      </w:pPr>
    </w:p>
    <w:p w14:paraId="6F9437DC" w14:textId="77777777" w:rsidR="00167E71" w:rsidRPr="003853C5" w:rsidRDefault="00ED4337" w:rsidP="00243142">
      <w:pPr>
        <w:tabs>
          <w:tab w:val="center" w:pos="4500"/>
        </w:tabs>
        <w:spacing w:line="276" w:lineRule="auto"/>
        <w:rPr>
          <w:rFonts w:cs="Arial"/>
          <w:b/>
          <w:szCs w:val="22"/>
        </w:rPr>
      </w:pPr>
      <w:r w:rsidRPr="003853C5">
        <w:rPr>
          <w:rFonts w:cs="Arial"/>
          <w:b/>
          <w:szCs w:val="22"/>
        </w:rPr>
        <w:t>Status:</w:t>
      </w:r>
    </w:p>
    <w:p w14:paraId="6CF04C27" w14:textId="3C8258C4" w:rsidR="00ED4337" w:rsidRPr="003853C5" w:rsidRDefault="00ED4337" w:rsidP="00243142">
      <w:pPr>
        <w:tabs>
          <w:tab w:val="center" w:pos="4500"/>
        </w:tabs>
        <w:spacing w:line="276" w:lineRule="auto"/>
        <w:rPr>
          <w:rFonts w:cs="Arial"/>
          <w:b/>
          <w:szCs w:val="22"/>
        </w:rPr>
      </w:pPr>
      <w:r w:rsidRPr="003853C5">
        <w:rPr>
          <w:rFonts w:cs="Arial"/>
          <w:b/>
          <w:szCs w:val="22"/>
        </w:rPr>
        <w:tab/>
      </w:r>
    </w:p>
    <w:p w14:paraId="59A65DBE" w14:textId="46888578" w:rsidR="00ED4337" w:rsidRPr="003853C5" w:rsidRDefault="00ED4337" w:rsidP="00243142">
      <w:pPr>
        <w:spacing w:line="276" w:lineRule="auto"/>
        <w:rPr>
          <w:rFonts w:cs="Arial"/>
          <w:szCs w:val="22"/>
        </w:rPr>
      </w:pPr>
      <w:r w:rsidRPr="00243142">
        <w:rPr>
          <w:rFonts w:cs="Arial"/>
          <w:szCs w:val="22"/>
        </w:rPr>
        <w:t xml:space="preserve">This document is </w:t>
      </w:r>
      <w:r w:rsidR="00CC7A76">
        <w:rPr>
          <w:rFonts w:cs="Arial"/>
          <w:szCs w:val="22"/>
        </w:rPr>
        <w:t xml:space="preserve">a </w:t>
      </w:r>
      <w:r w:rsidR="00B17EC4" w:rsidRPr="00243142">
        <w:rPr>
          <w:rFonts w:cs="Arial"/>
          <w:szCs w:val="22"/>
        </w:rPr>
        <w:t xml:space="preserve">Draft Recommendation </w:t>
      </w:r>
      <w:r w:rsidRPr="00243142">
        <w:rPr>
          <w:rFonts w:cs="Arial"/>
          <w:szCs w:val="22"/>
        </w:rPr>
        <w:t xml:space="preserve">produced by </w:t>
      </w:r>
      <w:r w:rsidR="00B17EC4" w:rsidRPr="00243142">
        <w:rPr>
          <w:rFonts w:cs="Arial"/>
          <w:szCs w:val="22"/>
        </w:rPr>
        <w:t>the Anchor</w:t>
      </w:r>
      <w:r w:rsidR="006C2811">
        <w:rPr>
          <w:rFonts w:cs="Arial"/>
          <w:szCs w:val="22"/>
        </w:rPr>
        <w:t>ed</w:t>
      </w:r>
      <w:r w:rsidR="00B17EC4" w:rsidRPr="00243142">
        <w:rPr>
          <w:rFonts w:cs="Arial"/>
          <w:szCs w:val="22"/>
        </w:rPr>
        <w:t xml:space="preserve"> Notice and Consent Receipt Work Group (ANCR)</w:t>
      </w:r>
      <w:r w:rsidR="00243142" w:rsidRPr="00243142">
        <w:rPr>
          <w:rFonts w:cs="Arial"/>
          <w:szCs w:val="22"/>
        </w:rPr>
        <w:t xml:space="preserve">. </w:t>
      </w:r>
      <w:r w:rsidR="00243142">
        <w:rPr>
          <w:rFonts w:cs="Arial"/>
          <w:szCs w:val="22"/>
        </w:rPr>
        <w:t>The Group has approved it</w:t>
      </w:r>
      <w:r w:rsidR="00243142" w:rsidRPr="00243142">
        <w:rPr>
          <w:rFonts w:cs="Arial"/>
          <w:szCs w:val="22"/>
        </w:rPr>
        <w:t xml:space="preserve"> for Public Comment and Intellectual Property Rights Overview</w:t>
      </w:r>
      <w:r w:rsidRPr="00243142">
        <w:rPr>
          <w:rFonts w:cs="Arial"/>
          <w:szCs w:val="22"/>
        </w:rPr>
        <w:t>.</w:t>
      </w:r>
      <w:r w:rsidRPr="00243142">
        <w:rPr>
          <w:rFonts w:cs="Arial"/>
          <w:szCs w:val="22"/>
        </w:rPr>
        <w:fldChar w:fldCharType="begin"/>
      </w:r>
      <w:r w:rsidRPr="00243142">
        <w:rPr>
          <w:rFonts w:cs="Arial"/>
          <w:szCs w:val="22"/>
        </w:rPr>
        <w:instrText xml:space="preserve"> IF </w:instrText>
      </w:r>
      <w:r w:rsidRPr="00243142">
        <w:rPr>
          <w:rFonts w:cs="Arial"/>
          <w:szCs w:val="22"/>
        </w:rPr>
        <w:fldChar w:fldCharType="begin"/>
      </w:r>
      <w:r w:rsidRPr="00243142">
        <w:rPr>
          <w:rFonts w:cs="Arial"/>
          <w:szCs w:val="22"/>
        </w:rPr>
        <w:instrText xml:space="preserve"> DOCPROPERTY "KI-Group-Approved-Draft"  </w:instrText>
      </w:r>
      <w:r w:rsidRPr="00243142">
        <w:rPr>
          <w:rFonts w:cs="Arial"/>
          <w:szCs w:val="22"/>
        </w:rPr>
        <w:fldChar w:fldCharType="separate"/>
      </w:r>
      <w:r w:rsidRPr="00243142">
        <w:rPr>
          <w:rFonts w:cs="Arial"/>
          <w:szCs w:val="22"/>
        </w:rPr>
        <w:instrText>N</w:instrText>
      </w:r>
      <w:r w:rsidRPr="00243142">
        <w:rPr>
          <w:rFonts w:cs="Arial"/>
          <w:szCs w:val="22"/>
        </w:rPr>
        <w:fldChar w:fldCharType="end"/>
      </w:r>
      <w:r w:rsidRPr="00243142">
        <w:rPr>
          <w:rFonts w:cs="Arial"/>
          <w:szCs w:val="22"/>
        </w:rPr>
        <w:instrText xml:space="preserve"> = "Y"  "</w:instrText>
      </w:r>
      <w:r w:rsidRPr="00243142">
        <w:rPr>
          <w:rFonts w:cs="Arial"/>
          <w:szCs w:val="22"/>
        </w:rPr>
        <w:fldChar w:fldCharType="begin"/>
      </w:r>
      <w:r w:rsidRPr="00243142">
        <w:rPr>
          <w:rFonts w:cs="Arial"/>
          <w:szCs w:val="22"/>
        </w:rPr>
        <w:instrText xml:space="preserve"> AUTOTEXT KI-S-AD </w:instrText>
      </w:r>
      <w:r w:rsidRPr="00243142">
        <w:rPr>
          <w:rFonts w:cs="Arial"/>
          <w:szCs w:val="22"/>
        </w:rPr>
        <w:fldChar w:fldCharType="separate"/>
      </w:r>
      <w:r w:rsidRPr="00243142">
        <w:rPr>
          <w:rFonts w:cs="Arial"/>
          <w:szCs w:val="22"/>
        </w:rPr>
        <w:instrText>, and has been approved by the Group.</w:instrText>
      </w:r>
      <w:r w:rsidRPr="00243142">
        <w:rPr>
          <w:rFonts w:cs="Arial"/>
          <w:szCs w:val="22"/>
        </w:rPr>
        <w:fldChar w:fldCharType="end"/>
      </w:r>
      <w:r w:rsidRPr="00243142">
        <w:rPr>
          <w:rFonts w:cs="Arial"/>
          <w:szCs w:val="22"/>
        </w:rPr>
        <w:instrText xml:space="preserve">"  "" \* MERGEFORMAT </w:instrText>
      </w:r>
      <w:r w:rsidRPr="00243142">
        <w:rPr>
          <w:rFonts w:cs="Arial"/>
          <w:szCs w:val="22"/>
        </w:rPr>
        <w:fldChar w:fldCharType="end"/>
      </w:r>
      <w:r w:rsidRPr="00243142">
        <w:rPr>
          <w:rFonts w:cs="Arial"/>
          <w:szCs w:val="22"/>
        </w:rPr>
        <w:fldChar w:fldCharType="begin"/>
      </w:r>
      <w:r w:rsidRPr="00243142">
        <w:rPr>
          <w:rFonts w:cs="Arial"/>
          <w:szCs w:val="22"/>
        </w:rPr>
        <w:instrText xml:space="preserve"> IF </w:instrText>
      </w:r>
      <w:r w:rsidRPr="00243142">
        <w:rPr>
          <w:rFonts w:cs="Arial"/>
          <w:szCs w:val="22"/>
        </w:rPr>
        <w:fldChar w:fldCharType="begin"/>
      </w:r>
      <w:r w:rsidRPr="00243142">
        <w:rPr>
          <w:rFonts w:cs="Arial"/>
          <w:szCs w:val="22"/>
        </w:rPr>
        <w:instrText xml:space="preserve"> DOCPROPERTY "KI-Public-Review-Draft"  </w:instrText>
      </w:r>
      <w:r w:rsidRPr="00243142">
        <w:rPr>
          <w:rFonts w:cs="Arial"/>
          <w:szCs w:val="22"/>
        </w:rPr>
        <w:fldChar w:fldCharType="separate"/>
      </w:r>
      <w:r w:rsidRPr="00243142">
        <w:rPr>
          <w:rFonts w:cs="Arial"/>
          <w:szCs w:val="22"/>
        </w:rPr>
        <w:instrText>N</w:instrText>
      </w:r>
      <w:r w:rsidRPr="00243142">
        <w:rPr>
          <w:rFonts w:cs="Arial"/>
          <w:szCs w:val="22"/>
        </w:rPr>
        <w:fldChar w:fldCharType="end"/>
      </w:r>
      <w:r w:rsidRPr="00243142">
        <w:rPr>
          <w:rFonts w:cs="Arial"/>
          <w:szCs w:val="22"/>
        </w:rPr>
        <w:instrText xml:space="preserve"> = "Y" </w:instrText>
      </w:r>
      <w:r w:rsidRPr="00243142">
        <w:rPr>
          <w:rFonts w:cs="Arial"/>
          <w:szCs w:val="22"/>
        </w:rPr>
        <w:fldChar w:fldCharType="begin"/>
      </w:r>
      <w:r w:rsidRPr="00243142">
        <w:rPr>
          <w:rFonts w:cs="Arial"/>
          <w:szCs w:val="22"/>
        </w:rPr>
        <w:instrText xml:space="preserve"> AUTOTEXT KI-S-PD </w:instrText>
      </w:r>
      <w:r w:rsidRPr="00243142">
        <w:rPr>
          <w:rFonts w:cs="Arial"/>
          <w:szCs w:val="22"/>
        </w:rPr>
        <w:fldChar w:fldCharType="separate"/>
      </w:r>
      <w:r w:rsidRPr="00243142">
        <w:rPr>
          <w:rFonts w:cs="Arial"/>
          <w:szCs w:val="22"/>
        </w:rPr>
        <w:instrText>, and has been approved by the Group for Public Comment and Intellectual Property Rights Review.</w:instrText>
      </w:r>
      <w:r w:rsidRPr="00243142">
        <w:rPr>
          <w:rFonts w:cs="Arial"/>
          <w:szCs w:val="22"/>
        </w:rPr>
        <w:fldChar w:fldCharType="end"/>
      </w:r>
      <w:r w:rsidRPr="00243142">
        <w:rPr>
          <w:rFonts w:cs="Arial"/>
          <w:szCs w:val="22"/>
        </w:rPr>
        <w:instrText xml:space="preserve">  "" \* MERGEFORMAT </w:instrText>
      </w:r>
      <w:r w:rsidRPr="00243142">
        <w:rPr>
          <w:rFonts w:cs="Arial"/>
          <w:szCs w:val="22"/>
        </w:rPr>
        <w:fldChar w:fldCharType="end"/>
      </w:r>
      <w:r w:rsidRPr="00243142">
        <w:rPr>
          <w:rFonts w:cs="Arial"/>
          <w:szCs w:val="22"/>
        </w:rPr>
        <w:fldChar w:fldCharType="begin"/>
      </w:r>
      <w:r w:rsidRPr="00243142">
        <w:rPr>
          <w:rFonts w:cs="Arial"/>
          <w:szCs w:val="22"/>
        </w:rPr>
        <w:instrText xml:space="preserve"> IF </w:instrText>
      </w:r>
      <w:r w:rsidRPr="00243142">
        <w:rPr>
          <w:rFonts w:cs="Arial"/>
          <w:szCs w:val="22"/>
        </w:rPr>
        <w:fldChar w:fldCharType="begin"/>
      </w:r>
      <w:r w:rsidRPr="00243142">
        <w:rPr>
          <w:rFonts w:cs="Arial"/>
          <w:szCs w:val="22"/>
        </w:rPr>
        <w:instrText xml:space="preserve"> DOCPROPERTY "KI-Group-Approved"  </w:instrText>
      </w:r>
      <w:r w:rsidRPr="00243142">
        <w:rPr>
          <w:rFonts w:cs="Arial"/>
          <w:szCs w:val="22"/>
        </w:rPr>
        <w:fldChar w:fldCharType="separate"/>
      </w:r>
      <w:r w:rsidRPr="00243142">
        <w:rPr>
          <w:rFonts w:cs="Arial"/>
          <w:szCs w:val="22"/>
        </w:rPr>
        <w:instrText>N</w:instrText>
      </w:r>
      <w:r w:rsidRPr="00243142">
        <w:rPr>
          <w:rFonts w:cs="Arial"/>
          <w:szCs w:val="22"/>
        </w:rPr>
        <w:fldChar w:fldCharType="end"/>
      </w:r>
      <w:r w:rsidRPr="00243142">
        <w:rPr>
          <w:rFonts w:cs="Arial"/>
          <w:szCs w:val="22"/>
        </w:rPr>
        <w:instrText xml:space="preserve"> = "Y"</w:instrText>
      </w:r>
      <w:r w:rsidRPr="00243142">
        <w:rPr>
          <w:rFonts w:cs="Arial"/>
          <w:szCs w:val="22"/>
        </w:rPr>
        <w:fldChar w:fldCharType="begin"/>
      </w:r>
      <w:r w:rsidRPr="00243142">
        <w:rPr>
          <w:rFonts w:cs="Arial"/>
          <w:szCs w:val="22"/>
        </w:rPr>
        <w:instrText xml:space="preserve"> AUTOTEXT KI-S-AR </w:instrText>
      </w:r>
      <w:r w:rsidRPr="00243142">
        <w:rPr>
          <w:rFonts w:cs="Arial"/>
          <w:szCs w:val="22"/>
        </w:rPr>
        <w:fldChar w:fldCharType="separate"/>
      </w:r>
      <w:r w:rsidRPr="00243142">
        <w:rPr>
          <w:rFonts w:cs="Arial"/>
          <w:szCs w:val="22"/>
        </w:rPr>
        <w:instrText>, and has been approved by the Group. The Public Comment and Intellectual Property Rights Review has been completed.</w:instrText>
      </w:r>
      <w:r w:rsidRPr="00243142">
        <w:rPr>
          <w:rFonts w:cs="Arial"/>
          <w:szCs w:val="22"/>
        </w:rPr>
        <w:fldChar w:fldCharType="end"/>
      </w:r>
      <w:r w:rsidRPr="00243142">
        <w:rPr>
          <w:rFonts w:cs="Arial"/>
          <w:szCs w:val="22"/>
        </w:rPr>
        <w:instrText xml:space="preserve">  "" \* MERGEFORMAT </w:instrText>
      </w:r>
      <w:r w:rsidRPr="00243142">
        <w:rPr>
          <w:rFonts w:cs="Arial"/>
          <w:szCs w:val="22"/>
        </w:rPr>
        <w:fldChar w:fldCharType="end"/>
      </w:r>
      <w:r w:rsidRPr="00243142">
        <w:rPr>
          <w:rFonts w:cs="Arial"/>
          <w:szCs w:val="22"/>
        </w:rPr>
        <w:fldChar w:fldCharType="begin"/>
      </w:r>
      <w:r w:rsidRPr="00243142">
        <w:rPr>
          <w:rFonts w:cs="Arial"/>
          <w:szCs w:val="22"/>
        </w:rPr>
        <w:instrText xml:space="preserve"> IF </w:instrText>
      </w:r>
      <w:r w:rsidRPr="00243142">
        <w:rPr>
          <w:rFonts w:cs="Arial"/>
          <w:szCs w:val="22"/>
        </w:rPr>
        <w:fldChar w:fldCharType="begin"/>
      </w:r>
      <w:r w:rsidRPr="00243142">
        <w:rPr>
          <w:rFonts w:cs="Arial"/>
          <w:szCs w:val="22"/>
        </w:rPr>
        <w:instrText xml:space="preserve"> DOCPROPERTY "KI-Kantara-Initiative-Candidate"  </w:instrText>
      </w:r>
      <w:r w:rsidRPr="00243142">
        <w:rPr>
          <w:rFonts w:cs="Arial"/>
          <w:szCs w:val="22"/>
        </w:rPr>
        <w:fldChar w:fldCharType="separate"/>
      </w:r>
      <w:r w:rsidRPr="00243142">
        <w:rPr>
          <w:rFonts w:cs="Arial"/>
          <w:szCs w:val="22"/>
        </w:rPr>
        <w:instrText>N</w:instrText>
      </w:r>
      <w:r w:rsidRPr="00243142">
        <w:rPr>
          <w:rFonts w:cs="Arial"/>
          <w:szCs w:val="22"/>
        </w:rPr>
        <w:fldChar w:fldCharType="end"/>
      </w:r>
      <w:r w:rsidRPr="00243142">
        <w:rPr>
          <w:rFonts w:cs="Arial"/>
          <w:szCs w:val="22"/>
        </w:rPr>
        <w:instrText xml:space="preserve"> = "Y" </w:instrText>
      </w:r>
      <w:r w:rsidRPr="00243142">
        <w:rPr>
          <w:rFonts w:cs="Arial"/>
          <w:szCs w:val="22"/>
        </w:rPr>
        <w:fldChar w:fldCharType="begin"/>
      </w:r>
      <w:r w:rsidRPr="00243142">
        <w:rPr>
          <w:rFonts w:cs="Arial"/>
          <w:szCs w:val="22"/>
        </w:rPr>
        <w:instrText xml:space="preserve"> AUTOTEXT KI-S-CR </w:instrText>
      </w:r>
      <w:r w:rsidRPr="00243142">
        <w:rPr>
          <w:rFonts w:cs="Arial"/>
          <w:szCs w:val="22"/>
        </w:rPr>
        <w:fldChar w:fldCharType="separate"/>
      </w:r>
      <w:r w:rsidRPr="00243142">
        <w:rPr>
          <w:rFonts w:cs="Arial"/>
          <w:szCs w:val="22"/>
        </w:rPr>
        <w:instrText>, and has been approved by the Group. The Public Comment and Intellectual Property Rights Review has been completed.</w:instrText>
      </w:r>
      <w:r w:rsidRPr="00243142">
        <w:rPr>
          <w:rFonts w:cs="Arial"/>
          <w:szCs w:val="22"/>
        </w:rPr>
        <w:fldChar w:fldCharType="end"/>
      </w:r>
      <w:r w:rsidRPr="00243142">
        <w:rPr>
          <w:rFonts w:cs="Arial"/>
          <w:szCs w:val="22"/>
        </w:rPr>
        <w:instrText xml:space="preserve">  "" \* MERGEFORMAT </w:instrText>
      </w:r>
      <w:r w:rsidRPr="00243142">
        <w:rPr>
          <w:rFonts w:cs="Arial"/>
          <w:szCs w:val="22"/>
        </w:rPr>
        <w:fldChar w:fldCharType="end"/>
      </w:r>
      <w:r w:rsidRPr="00243142">
        <w:rPr>
          <w:rFonts w:cs="Arial"/>
          <w:szCs w:val="22"/>
        </w:rPr>
        <w:fldChar w:fldCharType="begin"/>
      </w:r>
      <w:r w:rsidRPr="00243142">
        <w:rPr>
          <w:rFonts w:cs="Arial"/>
          <w:szCs w:val="22"/>
        </w:rPr>
        <w:instrText xml:space="preserve"> IF </w:instrText>
      </w:r>
      <w:r w:rsidRPr="00243142">
        <w:rPr>
          <w:rFonts w:cs="Arial"/>
          <w:szCs w:val="22"/>
        </w:rPr>
        <w:fldChar w:fldCharType="begin"/>
      </w:r>
      <w:r w:rsidRPr="00243142">
        <w:rPr>
          <w:rFonts w:cs="Arial"/>
          <w:szCs w:val="22"/>
        </w:rPr>
        <w:instrText xml:space="preserve"> DOCPROPERTY "KI-Kantara-Initiative-Final-Recommendation"  </w:instrText>
      </w:r>
      <w:r w:rsidRPr="00243142">
        <w:rPr>
          <w:rFonts w:cs="Arial"/>
          <w:szCs w:val="22"/>
        </w:rPr>
        <w:fldChar w:fldCharType="separate"/>
      </w:r>
      <w:r w:rsidRPr="00243142">
        <w:rPr>
          <w:rFonts w:cs="Arial"/>
          <w:szCs w:val="22"/>
        </w:rPr>
        <w:instrText>N</w:instrText>
      </w:r>
      <w:r w:rsidRPr="00243142">
        <w:rPr>
          <w:rFonts w:cs="Arial"/>
          <w:szCs w:val="22"/>
        </w:rPr>
        <w:fldChar w:fldCharType="end"/>
      </w:r>
      <w:r w:rsidRPr="00243142">
        <w:rPr>
          <w:rFonts w:cs="Arial"/>
          <w:szCs w:val="22"/>
        </w:rPr>
        <w:instrText xml:space="preserve"> = "Y"</w:instrText>
      </w:r>
      <w:r w:rsidRPr="00243142">
        <w:rPr>
          <w:rFonts w:cs="Arial"/>
          <w:szCs w:val="22"/>
        </w:rPr>
        <w:fldChar w:fldCharType="begin"/>
      </w:r>
      <w:r w:rsidRPr="00243142">
        <w:rPr>
          <w:rFonts w:cs="Arial"/>
          <w:szCs w:val="22"/>
        </w:rPr>
        <w:instrText xml:space="preserve"> AUTOTEXT KI-S-FR </w:instrText>
      </w:r>
      <w:r w:rsidRPr="00243142">
        <w:rPr>
          <w:rFonts w:cs="Arial"/>
          <w:szCs w:val="22"/>
        </w:rPr>
        <w:fldChar w:fldCharType="separate"/>
      </w:r>
      <w:r w:rsidRPr="00243142">
        <w:rPr>
          <w:rFonts w:cs="Arial"/>
          <w:szCs w:val="22"/>
        </w:rPr>
        <w:instrText>. It has been approved by the Membership of the Kantara Initiative.</w:instrText>
      </w:r>
      <w:r w:rsidRPr="00243142">
        <w:rPr>
          <w:rFonts w:cs="Arial"/>
          <w:szCs w:val="22"/>
        </w:rPr>
        <w:fldChar w:fldCharType="end"/>
      </w:r>
      <w:r w:rsidRPr="00243142">
        <w:rPr>
          <w:rFonts w:cs="Arial"/>
          <w:szCs w:val="22"/>
        </w:rPr>
        <w:instrText xml:space="preserve">  "" \* MERGEFORMAT </w:instrText>
      </w:r>
      <w:r w:rsidRPr="00243142">
        <w:rPr>
          <w:rFonts w:cs="Arial"/>
          <w:szCs w:val="22"/>
        </w:rPr>
        <w:fldChar w:fldCharType="end"/>
      </w:r>
      <w:r w:rsidRPr="00243142">
        <w:rPr>
          <w:rFonts w:cs="Arial"/>
          <w:szCs w:val="22"/>
        </w:rPr>
        <w:fldChar w:fldCharType="begin"/>
      </w:r>
      <w:r w:rsidRPr="00243142">
        <w:rPr>
          <w:rFonts w:cs="Arial"/>
          <w:szCs w:val="22"/>
        </w:rPr>
        <w:instrText xml:space="preserve"> IF </w:instrText>
      </w:r>
      <w:r w:rsidRPr="00243142">
        <w:rPr>
          <w:rFonts w:cs="Arial"/>
          <w:szCs w:val="22"/>
        </w:rPr>
        <w:fldChar w:fldCharType="begin"/>
      </w:r>
      <w:r w:rsidRPr="00243142">
        <w:rPr>
          <w:rFonts w:cs="Arial"/>
          <w:szCs w:val="22"/>
        </w:rPr>
        <w:instrText xml:space="preserve"> DOCPROPERTY "KI-Kantara-Initiative-Final-Report"  </w:instrText>
      </w:r>
      <w:r w:rsidRPr="00243142">
        <w:rPr>
          <w:rFonts w:cs="Arial"/>
          <w:szCs w:val="22"/>
        </w:rPr>
        <w:fldChar w:fldCharType="separate"/>
      </w:r>
      <w:r w:rsidRPr="00243142">
        <w:rPr>
          <w:rFonts w:cs="Arial"/>
          <w:szCs w:val="22"/>
        </w:rPr>
        <w:instrText>N</w:instrText>
      </w:r>
      <w:r w:rsidRPr="00243142">
        <w:rPr>
          <w:rFonts w:cs="Arial"/>
          <w:szCs w:val="22"/>
        </w:rPr>
        <w:fldChar w:fldCharType="end"/>
      </w:r>
      <w:r w:rsidRPr="00243142">
        <w:rPr>
          <w:rFonts w:cs="Arial"/>
          <w:szCs w:val="22"/>
        </w:rPr>
        <w:instrText xml:space="preserve"> = "Y" </w:instrText>
      </w:r>
      <w:r w:rsidRPr="00243142">
        <w:rPr>
          <w:rFonts w:cs="Arial"/>
          <w:szCs w:val="22"/>
        </w:rPr>
        <w:fldChar w:fldCharType="begin"/>
      </w:r>
      <w:r w:rsidRPr="00243142">
        <w:rPr>
          <w:rFonts w:cs="Arial"/>
          <w:szCs w:val="22"/>
        </w:rPr>
        <w:instrText xml:space="preserve"> AUTOTEXT KI-S-LCR </w:instrText>
      </w:r>
      <w:r w:rsidRPr="00243142">
        <w:rPr>
          <w:rFonts w:cs="Arial"/>
          <w:szCs w:val="22"/>
        </w:rPr>
        <w:fldChar w:fldCharType="separate"/>
      </w:r>
      <w:r w:rsidRPr="00243142">
        <w:rPr>
          <w:rFonts w:cs="Arial"/>
          <w:szCs w:val="22"/>
        </w:rPr>
        <w:instrText>. It has been approved by the Leadership Council of the Kantara Initiative.</w:instrText>
      </w:r>
      <w:r w:rsidRPr="00243142">
        <w:rPr>
          <w:rFonts w:cs="Arial"/>
          <w:szCs w:val="22"/>
        </w:rPr>
        <w:fldChar w:fldCharType="end"/>
      </w:r>
      <w:r w:rsidRPr="00243142">
        <w:rPr>
          <w:rFonts w:cs="Arial"/>
          <w:szCs w:val="22"/>
        </w:rPr>
        <w:instrText xml:space="preserve">  "" \* MERGEFORMAT </w:instrText>
      </w:r>
      <w:r w:rsidRPr="00243142">
        <w:rPr>
          <w:rFonts w:cs="Arial"/>
          <w:szCs w:val="22"/>
        </w:rPr>
        <w:fldChar w:fldCharType="end"/>
      </w:r>
      <w:r w:rsidRPr="003853C5">
        <w:rPr>
          <w:rFonts w:cs="Arial"/>
          <w:szCs w:val="22"/>
        </w:rPr>
        <w:t xml:space="preserve"> See the Kantara Initiative </w:t>
      </w:r>
      <w:hyperlink r:id="rId8" w:history="1">
        <w:r w:rsidRPr="003853C5">
          <w:rPr>
            <w:rStyle w:val="Hyperlink"/>
            <w:rFonts w:cs="Arial"/>
            <w:szCs w:val="22"/>
          </w:rPr>
          <w:t>Operating Procedures</w:t>
        </w:r>
      </w:hyperlink>
      <w:r w:rsidRPr="003853C5">
        <w:rPr>
          <w:rFonts w:cs="Arial"/>
          <w:szCs w:val="22"/>
        </w:rPr>
        <w:t xml:space="preserve"> for more information.</w:t>
      </w:r>
    </w:p>
    <w:p w14:paraId="287D2CD5" w14:textId="77777777" w:rsidR="00ED4337" w:rsidRPr="003853C5" w:rsidRDefault="00ED4337" w:rsidP="00243142">
      <w:pPr>
        <w:spacing w:line="276" w:lineRule="auto"/>
        <w:rPr>
          <w:rFonts w:cs="Arial"/>
          <w:szCs w:val="22"/>
        </w:rPr>
      </w:pPr>
    </w:p>
    <w:p w14:paraId="5E671950" w14:textId="77777777" w:rsidR="00ED4337" w:rsidRPr="003853C5" w:rsidRDefault="00ED4337" w:rsidP="00243142">
      <w:pPr>
        <w:spacing w:line="276" w:lineRule="auto"/>
        <w:rPr>
          <w:rFonts w:cs="Arial"/>
          <w:b/>
          <w:szCs w:val="22"/>
        </w:rPr>
      </w:pPr>
      <w:r w:rsidRPr="003853C5">
        <w:rPr>
          <w:rFonts w:cs="Arial"/>
          <w:b/>
          <w:szCs w:val="22"/>
        </w:rPr>
        <w:t>Abstract:</w:t>
      </w:r>
    </w:p>
    <w:p w14:paraId="57AAF096" w14:textId="0A098540" w:rsidR="00AF6E21" w:rsidRPr="00E56E87" w:rsidRDefault="00AF6E21" w:rsidP="00243142">
      <w:pPr>
        <w:pStyle w:val="NormalWeb"/>
        <w:shd w:val="clear" w:color="auto" w:fill="FFFFFF"/>
        <w:spacing w:after="0" w:line="276" w:lineRule="auto"/>
        <w:rPr>
          <w:rFonts w:ascii="Arial" w:hAnsi="Arial" w:cs="Arial"/>
          <w:color w:val="1F1F1F"/>
          <w:sz w:val="22"/>
          <w:szCs w:val="22"/>
          <w:shd w:val="clear" w:color="auto" w:fill="FFFFFF"/>
        </w:rPr>
      </w:pPr>
      <w:r w:rsidRPr="00E56E87">
        <w:rPr>
          <w:rFonts w:ascii="Arial" w:hAnsi="Arial" w:cs="Arial"/>
          <w:color w:val="1F1F1F"/>
          <w:sz w:val="22"/>
          <w:szCs w:val="22"/>
          <w:shd w:val="clear" w:color="auto" w:fill="FFFFFF"/>
        </w:rPr>
        <w:t>Transparency Performance Reporting (TPR) is a novel approach to digital transparency and data control reporting</w:t>
      </w:r>
      <w:r>
        <w:rPr>
          <w:rFonts w:ascii="Arial" w:hAnsi="Arial" w:cs="Arial"/>
          <w:color w:val="1F1F1F"/>
          <w:sz w:val="22"/>
          <w:szCs w:val="22"/>
          <w:shd w:val="clear" w:color="auto" w:fill="FFFFFF"/>
        </w:rPr>
        <w:t xml:space="preserve">. TPR </w:t>
      </w:r>
      <w:r w:rsidRPr="00E56E87">
        <w:rPr>
          <w:rFonts w:ascii="Arial" w:hAnsi="Arial" w:cs="Arial"/>
          <w:color w:val="1F1F1F"/>
          <w:sz w:val="22"/>
          <w:szCs w:val="22"/>
          <w:shd w:val="clear" w:color="auto" w:fill="FFFFFF"/>
        </w:rPr>
        <w:t>clarif</w:t>
      </w:r>
      <w:r>
        <w:rPr>
          <w:rFonts w:ascii="Arial" w:hAnsi="Arial" w:cs="Arial"/>
          <w:color w:val="1F1F1F"/>
          <w:sz w:val="22"/>
          <w:szCs w:val="22"/>
          <w:shd w:val="clear" w:color="auto" w:fill="FFFFFF"/>
        </w:rPr>
        <w:t>ies</w:t>
      </w:r>
      <w:r w:rsidRPr="00E56E87">
        <w:rPr>
          <w:rFonts w:ascii="Arial" w:hAnsi="Arial" w:cs="Arial"/>
          <w:color w:val="1F1F1F"/>
          <w:sz w:val="22"/>
          <w:szCs w:val="22"/>
          <w:shd w:val="clear" w:color="auto" w:fill="FFFFFF"/>
        </w:rPr>
        <w:t xml:space="preserve"> when a notice and consent receipt is required</w:t>
      </w:r>
      <w:r>
        <w:rPr>
          <w:rFonts w:ascii="Arial" w:hAnsi="Arial" w:cs="Arial"/>
          <w:color w:val="1F1F1F"/>
          <w:sz w:val="22"/>
          <w:szCs w:val="22"/>
          <w:shd w:val="clear" w:color="auto" w:fill="FFFFFF"/>
        </w:rPr>
        <w:t xml:space="preserve"> and</w:t>
      </w:r>
      <w:r w:rsidRPr="00E56E87">
        <w:rPr>
          <w:rFonts w:ascii="Arial" w:hAnsi="Arial" w:cs="Arial"/>
          <w:color w:val="1F1F1F"/>
          <w:sz w:val="22"/>
          <w:szCs w:val="22"/>
          <w:shd w:val="clear" w:color="auto" w:fill="FFFFFF"/>
        </w:rPr>
        <w:t xml:space="preserve"> its validity and provides a litmus test for valid consent. TPR uses 4 transparency performance indicators (TPIs) – the timing of the notice, the content of the notice, access and usefulness of the notice, and sovereignty of authority and security – to measure the transparency of the </w:t>
      </w:r>
      <w:r>
        <w:rPr>
          <w:rFonts w:ascii="Arial" w:hAnsi="Arial" w:cs="Arial"/>
          <w:color w:val="1F1F1F"/>
          <w:sz w:val="22"/>
          <w:szCs w:val="22"/>
          <w:shd w:val="clear" w:color="auto" w:fill="FFFFFF"/>
        </w:rPr>
        <w:t>Personally Identifiable Information (</w:t>
      </w:r>
      <w:r w:rsidRPr="00E56E87">
        <w:rPr>
          <w:rFonts w:ascii="Arial" w:hAnsi="Arial" w:cs="Arial"/>
          <w:color w:val="1F1F1F"/>
          <w:sz w:val="22"/>
          <w:szCs w:val="22"/>
          <w:shd w:val="clear" w:color="auto" w:fill="FFFFFF"/>
        </w:rPr>
        <w:t>PII</w:t>
      </w:r>
      <w:r>
        <w:rPr>
          <w:rFonts w:ascii="Arial" w:hAnsi="Arial" w:cs="Arial"/>
          <w:color w:val="1F1F1F"/>
          <w:sz w:val="22"/>
          <w:szCs w:val="22"/>
          <w:shd w:val="clear" w:color="auto" w:fill="FFFFFF"/>
        </w:rPr>
        <w:t>)</w:t>
      </w:r>
      <w:r w:rsidRPr="00E56E87">
        <w:rPr>
          <w:rFonts w:ascii="Arial" w:hAnsi="Arial" w:cs="Arial"/>
          <w:color w:val="1F1F1F"/>
          <w:sz w:val="22"/>
          <w:szCs w:val="22"/>
          <w:shd w:val="clear" w:color="auto" w:fill="FFFFFF"/>
        </w:rPr>
        <w:t xml:space="preserve"> Controller notice of risk to the personal data of the PII Principal. This represents a significant advancement for decentralizing digital identification and data surveillance governance within data flows. </w:t>
      </w:r>
    </w:p>
    <w:p w14:paraId="53DC80A9" w14:textId="57CBDF31" w:rsidR="00AF6E21" w:rsidRPr="00E56E87" w:rsidRDefault="00AF6E21" w:rsidP="00243142">
      <w:pPr>
        <w:pStyle w:val="NormalWeb"/>
        <w:shd w:val="clear" w:color="auto" w:fill="FFFFFF"/>
        <w:spacing w:after="0" w:line="276" w:lineRule="auto"/>
        <w:rPr>
          <w:rFonts w:ascii="Arial" w:hAnsi="Arial" w:cs="Arial"/>
          <w:color w:val="1F1F1F"/>
          <w:sz w:val="22"/>
          <w:szCs w:val="22"/>
          <w:shd w:val="clear" w:color="auto" w:fill="FFFFFF"/>
        </w:rPr>
      </w:pPr>
      <w:r w:rsidRPr="00E56E87">
        <w:rPr>
          <w:rFonts w:ascii="Arial" w:hAnsi="Arial" w:cs="Arial"/>
          <w:color w:val="1F1F1F"/>
          <w:sz w:val="22"/>
          <w:szCs w:val="22"/>
          <w:shd w:val="clear" w:color="auto" w:fill="FFFFFF"/>
        </w:rPr>
        <w:t>TPR includes mapping to privacy frameworks including Convention 108+, a commonwealth data governance framework that covers 2.5 billion people</w:t>
      </w:r>
      <w:r w:rsidR="00950E34">
        <w:rPr>
          <w:rFonts w:ascii="Arial" w:hAnsi="Arial" w:cs="Arial"/>
          <w:color w:val="1F1F1F"/>
          <w:sz w:val="22"/>
          <w:szCs w:val="22"/>
          <w:shd w:val="clear" w:color="auto" w:fill="FFFFFF"/>
        </w:rPr>
        <w:t>,</w:t>
      </w:r>
      <w:r w:rsidRPr="00E56E87">
        <w:rPr>
          <w:rFonts w:ascii="Arial" w:hAnsi="Arial" w:cs="Arial"/>
          <w:color w:val="1F1F1F"/>
          <w:sz w:val="22"/>
          <w:szCs w:val="22"/>
          <w:shd w:val="clear" w:color="auto" w:fill="FFFFFF"/>
        </w:rPr>
        <w:t xml:space="preserve"> and with it an interoperable set of </w:t>
      </w:r>
      <w:r w:rsidRPr="00E56E87">
        <w:rPr>
          <w:rFonts w:ascii="Arial" w:hAnsi="Arial" w:cs="Arial"/>
          <w:color w:val="1F1F1F"/>
          <w:sz w:val="22"/>
          <w:szCs w:val="22"/>
          <w:shd w:val="clear" w:color="auto" w:fill="FFFFFF"/>
        </w:rPr>
        <w:lastRenderedPageBreak/>
        <w:t>requirements for security and privacy</w:t>
      </w:r>
      <w:r>
        <w:rPr>
          <w:rFonts w:ascii="Arial" w:hAnsi="Arial" w:cs="Arial"/>
          <w:color w:val="1F1F1F"/>
          <w:sz w:val="22"/>
          <w:szCs w:val="22"/>
          <w:shd w:val="clear" w:color="auto" w:fill="FFFFFF"/>
        </w:rPr>
        <w:t>.</w:t>
      </w:r>
      <w:r w:rsidRPr="00E56E87">
        <w:rPr>
          <w:rFonts w:ascii="Arial" w:hAnsi="Arial" w:cs="Arial"/>
          <w:color w:val="1F1F1F"/>
          <w:sz w:val="22"/>
          <w:szCs w:val="22"/>
          <w:shd w:val="clear" w:color="auto" w:fill="FFFFFF"/>
        </w:rPr>
        <w:t xml:space="preserve"> The mappings show how the TPIs address the requirements for records of processing activities (GDPR Article 30)</w:t>
      </w:r>
      <w:r>
        <w:rPr>
          <w:rFonts w:ascii="Arial" w:hAnsi="Arial" w:cs="Arial"/>
          <w:color w:val="1F1F1F"/>
          <w:sz w:val="22"/>
          <w:szCs w:val="22"/>
          <w:shd w:val="clear" w:color="auto" w:fill="FFFFFF"/>
        </w:rPr>
        <w:t xml:space="preserve">, </w:t>
      </w:r>
      <w:r w:rsidRPr="00E56E87">
        <w:rPr>
          <w:rFonts w:ascii="Arial" w:hAnsi="Arial" w:cs="Arial"/>
          <w:color w:val="1F1F1F"/>
          <w:sz w:val="22"/>
          <w:szCs w:val="22"/>
          <w:shd w:val="clear" w:color="auto" w:fill="FFFFFF"/>
        </w:rPr>
        <w:t>enable services to be accountable to international (internet) standards for data governance</w:t>
      </w:r>
      <w:r>
        <w:rPr>
          <w:rFonts w:ascii="Arial" w:hAnsi="Arial" w:cs="Arial"/>
          <w:color w:val="1F1F1F"/>
          <w:sz w:val="22"/>
          <w:szCs w:val="22"/>
          <w:shd w:val="clear" w:color="auto" w:fill="FFFFFF"/>
        </w:rPr>
        <w:t>, and</w:t>
      </w:r>
      <w:r w:rsidRPr="00E56E87">
        <w:rPr>
          <w:rFonts w:ascii="Arial" w:hAnsi="Arial" w:cs="Arial"/>
          <w:color w:val="1F1F1F"/>
          <w:sz w:val="22"/>
          <w:szCs w:val="22"/>
          <w:shd w:val="clear" w:color="auto" w:fill="FFFFFF"/>
        </w:rPr>
        <w:t xml:space="preserve"> create a technical record foundation in a common set of rules allowing people to have their authoritative records of digital identification relationships. </w:t>
      </w:r>
      <w:r>
        <w:rPr>
          <w:rFonts w:ascii="Arial" w:hAnsi="Arial" w:cs="Arial"/>
          <w:color w:val="1F1F1F"/>
          <w:sz w:val="22"/>
          <w:szCs w:val="22"/>
          <w:shd w:val="clear" w:color="auto" w:fill="FFFFFF"/>
        </w:rPr>
        <w:t xml:space="preserve"> </w:t>
      </w:r>
    </w:p>
    <w:p w14:paraId="4D40A8E3" w14:textId="2035C38A" w:rsidR="00AF6E21" w:rsidRDefault="00AF6E21" w:rsidP="00243142">
      <w:pPr>
        <w:pStyle w:val="NormalWeb"/>
        <w:shd w:val="clear" w:color="auto" w:fill="FFFFFF"/>
        <w:spacing w:before="0" w:beforeAutospacing="0" w:after="0" w:afterAutospacing="0" w:line="276" w:lineRule="auto"/>
        <w:rPr>
          <w:rFonts w:ascii="Arial" w:hAnsi="Arial" w:cs="Arial"/>
          <w:color w:val="1F1F1F"/>
          <w:sz w:val="22"/>
          <w:szCs w:val="22"/>
          <w:shd w:val="clear" w:color="auto" w:fill="FFFFFF"/>
        </w:rPr>
      </w:pPr>
      <w:r w:rsidRPr="00E56E87">
        <w:rPr>
          <w:rFonts w:ascii="Arial" w:hAnsi="Arial" w:cs="Arial"/>
          <w:color w:val="1F1F1F"/>
          <w:sz w:val="22"/>
          <w:szCs w:val="22"/>
          <w:shd w:val="clear" w:color="auto" w:fill="FFFFFF"/>
        </w:rPr>
        <w:t xml:space="preserve">TPR was developed through volunteer work over three years in the </w:t>
      </w:r>
      <w:hyperlink r:id="rId9" w:history="1">
        <w:r w:rsidRPr="00740AE6">
          <w:rPr>
            <w:rStyle w:val="Hyperlink"/>
            <w:rFonts w:ascii="Arial" w:hAnsi="Arial" w:cs="Arial"/>
            <w:sz w:val="22"/>
            <w:szCs w:val="22"/>
            <w:shd w:val="clear" w:color="auto" w:fill="FFFFFF"/>
          </w:rPr>
          <w:t>Kantara Initiative Anchored Notice and Consent Receipt Work Group (ANCR)</w:t>
        </w:r>
      </w:hyperlink>
      <w:r w:rsidRPr="00E56E87">
        <w:rPr>
          <w:rFonts w:ascii="Arial" w:hAnsi="Arial" w:cs="Arial"/>
          <w:color w:val="1F1F1F"/>
          <w:sz w:val="22"/>
          <w:szCs w:val="22"/>
          <w:shd w:val="clear" w:color="auto" w:fill="FFFFFF"/>
        </w:rPr>
        <w:t xml:space="preserve"> </w:t>
      </w:r>
      <w:r>
        <w:rPr>
          <w:rFonts w:ascii="Arial" w:hAnsi="Arial" w:cs="Arial"/>
          <w:color w:val="1F1F1F"/>
          <w:sz w:val="22"/>
          <w:szCs w:val="22"/>
          <w:shd w:val="clear" w:color="auto" w:fill="FFFFFF"/>
        </w:rPr>
        <w:t>as</w:t>
      </w:r>
      <w:r w:rsidRPr="00E56E87">
        <w:rPr>
          <w:rFonts w:ascii="Arial" w:hAnsi="Arial" w:cs="Arial"/>
          <w:color w:val="1F1F1F"/>
          <w:sz w:val="22"/>
          <w:szCs w:val="22"/>
          <w:shd w:val="clear" w:color="auto" w:fill="FFFFFF"/>
        </w:rPr>
        <w:t xml:space="preserve"> a means of understanding and addressing ubiquitous platform and application surveillance</w:t>
      </w:r>
      <w:r>
        <w:rPr>
          <w:rFonts w:ascii="Arial" w:hAnsi="Arial" w:cs="Arial"/>
          <w:color w:val="1F1F1F"/>
          <w:sz w:val="22"/>
          <w:szCs w:val="22"/>
          <w:shd w:val="clear" w:color="auto" w:fill="FFFFFF"/>
        </w:rPr>
        <w:t xml:space="preserve"> while </w:t>
      </w:r>
      <w:r w:rsidRPr="00E56E87">
        <w:rPr>
          <w:rFonts w:ascii="Arial" w:hAnsi="Arial" w:cs="Arial"/>
          <w:color w:val="1F1F1F"/>
          <w:sz w:val="22"/>
          <w:szCs w:val="22"/>
          <w:shd w:val="clear" w:color="auto" w:fill="FFFFFF"/>
        </w:rPr>
        <w:t>promo</w:t>
      </w:r>
      <w:r>
        <w:rPr>
          <w:rFonts w:ascii="Arial" w:hAnsi="Arial" w:cs="Arial"/>
          <w:color w:val="1F1F1F"/>
          <w:sz w:val="22"/>
          <w:szCs w:val="22"/>
          <w:shd w:val="clear" w:color="auto" w:fill="FFFFFF"/>
        </w:rPr>
        <w:t>ting</w:t>
      </w:r>
      <w:r w:rsidRPr="00E56E87">
        <w:rPr>
          <w:rFonts w:ascii="Arial" w:hAnsi="Arial" w:cs="Arial"/>
          <w:color w:val="1F1F1F"/>
          <w:sz w:val="22"/>
          <w:szCs w:val="22"/>
          <w:shd w:val="clear" w:color="auto" w:fill="FFFFFF"/>
        </w:rPr>
        <w:t xml:space="preserve"> </w:t>
      </w:r>
      <w:r w:rsidR="006C2811">
        <w:rPr>
          <w:rFonts w:ascii="Arial" w:hAnsi="Arial" w:cs="Arial"/>
          <w:color w:val="1F1F1F"/>
          <w:sz w:val="22"/>
          <w:szCs w:val="22"/>
          <w:shd w:val="clear" w:color="auto" w:fill="FFFFFF"/>
        </w:rPr>
        <w:t>open</w:t>
      </w:r>
      <w:r w:rsidRPr="00E56E87">
        <w:rPr>
          <w:rFonts w:ascii="Arial" w:hAnsi="Arial" w:cs="Arial"/>
          <w:color w:val="1F1F1F"/>
          <w:sz w:val="22"/>
          <w:szCs w:val="22"/>
          <w:shd w:val="clear" w:color="auto" w:fill="FFFFFF"/>
        </w:rPr>
        <w:t xml:space="preserve"> security and privacy legal standards.</w:t>
      </w:r>
    </w:p>
    <w:p w14:paraId="0A10D3D6" w14:textId="77777777" w:rsidR="007B3F8D" w:rsidRPr="003853C5" w:rsidRDefault="007B3F8D" w:rsidP="00243142">
      <w:pPr>
        <w:spacing w:line="276" w:lineRule="auto"/>
        <w:rPr>
          <w:rFonts w:cs="Arial"/>
          <w:szCs w:val="22"/>
        </w:rPr>
      </w:pPr>
    </w:p>
    <w:p w14:paraId="4E26FA4C" w14:textId="4F7362BD" w:rsidR="007B3F8D" w:rsidRPr="003853C5" w:rsidRDefault="00ED4337" w:rsidP="00243142">
      <w:pPr>
        <w:spacing w:line="276" w:lineRule="auto"/>
        <w:rPr>
          <w:rFonts w:cs="Arial"/>
          <w:b/>
          <w:szCs w:val="22"/>
        </w:rPr>
      </w:pPr>
      <w:r w:rsidRPr="003853C5">
        <w:rPr>
          <w:rFonts w:cs="Arial"/>
          <w:b/>
          <w:szCs w:val="22"/>
        </w:rPr>
        <w:t xml:space="preserve">IPR Option: </w:t>
      </w:r>
    </w:p>
    <w:p w14:paraId="505EBE26" w14:textId="77777777" w:rsidR="00167E71" w:rsidRPr="003853C5" w:rsidRDefault="00167E71" w:rsidP="00243142">
      <w:pPr>
        <w:spacing w:line="276" w:lineRule="auto"/>
        <w:rPr>
          <w:rFonts w:cs="Arial"/>
          <w:b/>
          <w:szCs w:val="22"/>
        </w:rPr>
      </w:pPr>
    </w:p>
    <w:p w14:paraId="35040201" w14:textId="092DCACA" w:rsidR="007B3F8D" w:rsidRDefault="007B3F8D" w:rsidP="00243142">
      <w:pPr>
        <w:spacing w:line="276" w:lineRule="auto"/>
        <w:rPr>
          <w:rFonts w:cs="Arial"/>
          <w:szCs w:val="22"/>
        </w:rPr>
      </w:pPr>
      <w:r w:rsidRPr="003853C5">
        <w:rPr>
          <w:rFonts w:cs="Arial"/>
          <w:szCs w:val="22"/>
        </w:rPr>
        <w:t xml:space="preserve">This document is subject to the Kantara Initiative IPR Policy </w:t>
      </w:r>
      <w:r w:rsidR="00B17EC4">
        <w:rPr>
          <w:rFonts w:cs="Arial"/>
          <w:szCs w:val="22"/>
        </w:rPr>
        <w:t>O</w:t>
      </w:r>
      <w:r w:rsidRPr="003853C5">
        <w:rPr>
          <w:rFonts w:cs="Arial"/>
          <w:szCs w:val="22"/>
        </w:rPr>
        <w:t>ptio</w:t>
      </w:r>
      <w:r w:rsidRPr="00B17EC4">
        <w:rPr>
          <w:rFonts w:cs="Arial"/>
          <w:szCs w:val="22"/>
        </w:rPr>
        <w:t>n</w:t>
      </w:r>
      <w:r w:rsidR="00B17EC4" w:rsidRPr="00B17EC4">
        <w:rPr>
          <w:rFonts w:cs="Arial"/>
          <w:szCs w:val="22"/>
        </w:rPr>
        <w:t xml:space="preserve">: </w:t>
      </w:r>
      <w:hyperlink r:id="rId10" w:history="1">
        <w:r w:rsidR="00B17EC4" w:rsidRPr="00B17EC4">
          <w:rPr>
            <w:rStyle w:val="Hyperlink"/>
            <w:rFonts w:cs="Arial"/>
            <w:szCs w:val="22"/>
          </w:rPr>
          <w:t>Reciprocal Royalty Free with Opt-out to Reasonable and Non-Discriminatory</w:t>
        </w:r>
      </w:hyperlink>
      <w:r w:rsidR="00B17EC4">
        <w:rPr>
          <w:rFonts w:cs="Arial"/>
          <w:szCs w:val="22"/>
        </w:rPr>
        <w:t xml:space="preserve"> (RAND) </w:t>
      </w:r>
    </w:p>
    <w:p w14:paraId="7A7F4463" w14:textId="77777777" w:rsidR="00444B69" w:rsidRDefault="00444B69" w:rsidP="00243142">
      <w:pPr>
        <w:spacing w:line="276" w:lineRule="auto"/>
        <w:rPr>
          <w:rFonts w:cs="Arial"/>
          <w:szCs w:val="22"/>
        </w:rPr>
      </w:pPr>
    </w:p>
    <w:p w14:paraId="4F27332C" w14:textId="77777777" w:rsidR="00444B69" w:rsidRPr="00444B69" w:rsidRDefault="00444B69" w:rsidP="00243142">
      <w:pPr>
        <w:pBdr>
          <w:top w:val="nil"/>
          <w:left w:val="nil"/>
          <w:bottom w:val="nil"/>
          <w:right w:val="nil"/>
          <w:between w:val="nil"/>
        </w:pBdr>
        <w:spacing w:line="276" w:lineRule="auto"/>
        <w:rPr>
          <w:rFonts w:cs="Arial"/>
          <w:color w:val="000000"/>
          <w:szCs w:val="22"/>
        </w:rPr>
      </w:pPr>
      <w:r w:rsidRPr="00444B69">
        <w:rPr>
          <w:rFonts w:eastAsia="Times New Roman" w:cs="Arial"/>
          <w:color w:val="000000"/>
          <w:szCs w:val="22"/>
        </w:rPr>
        <w:t>Any derivative use of this specification must not create any dependency that limits or restricts the open use, transparency,</w:t>
      </w:r>
      <w:r w:rsidRPr="00444B69">
        <w:rPr>
          <w:rFonts w:cs="Arial"/>
          <w:szCs w:val="22"/>
        </w:rPr>
        <w:t xml:space="preserve"> </w:t>
      </w:r>
      <w:r w:rsidRPr="00444B69">
        <w:rPr>
          <w:rFonts w:eastAsia="Times New Roman" w:cs="Arial"/>
          <w:color w:val="000000"/>
          <w:szCs w:val="22"/>
        </w:rPr>
        <w:t xml:space="preserve">accessibility, </w:t>
      </w:r>
      <w:r w:rsidRPr="00444B69">
        <w:rPr>
          <w:rFonts w:cs="Arial"/>
          <w:szCs w:val="22"/>
        </w:rPr>
        <w:t>or</w:t>
      </w:r>
      <w:r w:rsidRPr="00444B69">
        <w:rPr>
          <w:rFonts w:eastAsia="Times New Roman" w:cs="Arial"/>
          <w:color w:val="000000"/>
          <w:szCs w:val="22"/>
        </w:rPr>
        <w:t xml:space="preserve"> availability of the specification and/or its use to measure the performance of transparency and/or the ability for the PII Principal to recei</w:t>
      </w:r>
      <w:r w:rsidRPr="00444B69">
        <w:rPr>
          <w:rFonts w:cs="Arial"/>
          <w:szCs w:val="22"/>
        </w:rPr>
        <w:t>ve</w:t>
      </w:r>
      <w:r w:rsidRPr="00444B69">
        <w:rPr>
          <w:rFonts w:eastAsia="Times New Roman" w:cs="Arial"/>
          <w:color w:val="000000"/>
          <w:szCs w:val="22"/>
        </w:rPr>
        <w:t xml:space="preserve"> a notice receipt, or to manage or present a notice receipt as a record of and for the authoritative use of</w:t>
      </w:r>
      <w:r w:rsidRPr="00444B69">
        <w:rPr>
          <w:rFonts w:cs="Arial"/>
          <w:szCs w:val="22"/>
        </w:rPr>
        <w:t xml:space="preserve"> PII Principal </w:t>
      </w:r>
      <w:r w:rsidRPr="00444B69">
        <w:rPr>
          <w:rFonts w:eastAsia="Times New Roman" w:cs="Arial"/>
          <w:color w:val="000000"/>
          <w:szCs w:val="22"/>
        </w:rPr>
        <w:t xml:space="preserve">consent.  </w:t>
      </w:r>
    </w:p>
    <w:p w14:paraId="236E099C" w14:textId="77777777" w:rsidR="007B3F8D" w:rsidRPr="003853C5" w:rsidRDefault="007B3F8D" w:rsidP="00243142">
      <w:pPr>
        <w:spacing w:line="276" w:lineRule="auto"/>
        <w:rPr>
          <w:rFonts w:cs="Arial"/>
          <w:szCs w:val="22"/>
        </w:rPr>
      </w:pPr>
    </w:p>
    <w:p w14:paraId="6F7B5E93" w14:textId="485D0E8D" w:rsidR="00ED4337" w:rsidRPr="003853C5" w:rsidRDefault="00ED4337" w:rsidP="00243142">
      <w:pPr>
        <w:spacing w:line="276" w:lineRule="auto"/>
        <w:rPr>
          <w:rFonts w:cs="Arial"/>
          <w:b/>
          <w:szCs w:val="22"/>
        </w:rPr>
      </w:pPr>
      <w:r w:rsidRPr="003853C5">
        <w:rPr>
          <w:rFonts w:cs="Arial"/>
          <w:b/>
          <w:szCs w:val="22"/>
        </w:rPr>
        <w:t>Suggested Citation:</w:t>
      </w:r>
    </w:p>
    <w:p w14:paraId="7EDCE7BE" w14:textId="77777777" w:rsidR="00167E71" w:rsidRPr="003853C5" w:rsidRDefault="00167E71" w:rsidP="00243142">
      <w:pPr>
        <w:spacing w:line="276" w:lineRule="auto"/>
        <w:rPr>
          <w:rFonts w:cs="Arial"/>
          <w:b/>
          <w:szCs w:val="22"/>
        </w:rPr>
      </w:pPr>
    </w:p>
    <w:p w14:paraId="6AE829C8" w14:textId="78C0B5FB" w:rsidR="00ED4337" w:rsidRPr="003853C5" w:rsidRDefault="00B17EC4" w:rsidP="00243142">
      <w:pPr>
        <w:spacing w:line="276" w:lineRule="auto"/>
        <w:rPr>
          <w:rFonts w:cs="Arial"/>
          <w:szCs w:val="22"/>
        </w:rPr>
      </w:pPr>
      <w:r>
        <w:rPr>
          <w:rFonts w:cs="Arial"/>
          <w:i/>
          <w:szCs w:val="22"/>
        </w:rPr>
        <w:t xml:space="preserve">Transparency Performance Reporting for the Assessment of Digital Identification Surveillance </w:t>
      </w:r>
      <w:r w:rsidR="002466DE">
        <w:rPr>
          <w:rFonts w:cs="Arial"/>
          <w:i/>
          <w:szCs w:val="22"/>
        </w:rPr>
        <w:t>V1.0</w:t>
      </w:r>
      <w:r w:rsidR="002728C9" w:rsidRPr="003853C5">
        <w:rPr>
          <w:rFonts w:cs="Arial"/>
          <w:i/>
          <w:szCs w:val="22"/>
        </w:rPr>
        <w:t xml:space="preserve">.  </w:t>
      </w:r>
      <w:r w:rsidR="00ED4337" w:rsidRPr="003853C5">
        <w:rPr>
          <w:rFonts w:cs="Arial"/>
          <w:szCs w:val="22"/>
        </w:rPr>
        <w:t xml:space="preserve">Kantara Initiative </w:t>
      </w:r>
      <w:r>
        <w:rPr>
          <w:rFonts w:cs="Arial"/>
          <w:szCs w:val="22"/>
        </w:rPr>
        <w:t>Anchor Notice and Consent Receipt Work Group</w:t>
      </w:r>
      <w:r w:rsidR="002728C9" w:rsidRPr="003853C5">
        <w:rPr>
          <w:rFonts w:cs="Arial"/>
          <w:szCs w:val="22"/>
        </w:rPr>
        <w:t xml:space="preserve">.  </w:t>
      </w:r>
      <w:r>
        <w:rPr>
          <w:rFonts w:cs="Arial"/>
          <w:szCs w:val="22"/>
        </w:rPr>
        <w:t>2025-02-12</w:t>
      </w:r>
      <w:r w:rsidR="002728C9" w:rsidRPr="003853C5">
        <w:rPr>
          <w:rFonts w:cs="Arial"/>
          <w:szCs w:val="22"/>
        </w:rPr>
        <w:t>.</w:t>
      </w:r>
      <w:r w:rsidR="00ED4337" w:rsidRPr="003853C5">
        <w:rPr>
          <w:rFonts w:cs="Arial"/>
          <w:szCs w:val="22"/>
        </w:rPr>
        <w:t xml:space="preserve"> Kantara Initiative </w:t>
      </w:r>
      <w:r w:rsidR="002728C9" w:rsidRPr="003853C5">
        <w:rPr>
          <w:rFonts w:cs="Arial"/>
          <w:szCs w:val="22"/>
        </w:rPr>
        <w:t>Recommendation</w:t>
      </w:r>
      <w:r w:rsidR="00ED4337" w:rsidRPr="003853C5">
        <w:rPr>
          <w:rFonts w:cs="Arial"/>
          <w:szCs w:val="22"/>
        </w:rPr>
        <w:t xml:space="preserve">. </w:t>
      </w:r>
      <w:r w:rsidR="00D960AE" w:rsidRPr="003853C5">
        <w:rPr>
          <w:rFonts w:cs="Arial"/>
          <w:szCs w:val="22"/>
        </w:rPr>
        <w:t>URL</w:t>
      </w:r>
      <w:r>
        <w:rPr>
          <w:rFonts w:cs="Arial"/>
          <w:szCs w:val="22"/>
        </w:rPr>
        <w:t xml:space="preserve"> TBD UPON PUBLICATION</w:t>
      </w:r>
    </w:p>
    <w:p w14:paraId="6797CB93" w14:textId="78D07C60" w:rsidR="003853C5" w:rsidRPr="003853C5" w:rsidRDefault="003853C5">
      <w:pPr>
        <w:rPr>
          <w:rFonts w:cs="Arial"/>
          <w:color w:val="000000" w:themeColor="text1"/>
          <w:szCs w:val="22"/>
        </w:rPr>
      </w:pPr>
      <w:r w:rsidRPr="003853C5">
        <w:rPr>
          <w:rFonts w:cs="Arial"/>
          <w:color w:val="000000" w:themeColor="text1"/>
          <w:szCs w:val="22"/>
        </w:rPr>
        <w:br w:type="page"/>
      </w:r>
    </w:p>
    <w:p w14:paraId="05ECA55E" w14:textId="4BB4A03C" w:rsidR="00EF7595" w:rsidRDefault="003853C5" w:rsidP="00243142">
      <w:pPr>
        <w:pStyle w:val="CopyrightNoticeHeading"/>
        <w:spacing w:line="276" w:lineRule="auto"/>
        <w:rPr>
          <w:rFonts w:cs="Arial"/>
          <w:szCs w:val="22"/>
        </w:rPr>
      </w:pPr>
      <w:r w:rsidRPr="003853C5">
        <w:rPr>
          <w:rFonts w:cs="Arial"/>
          <w:szCs w:val="22"/>
        </w:rPr>
        <w:lastRenderedPageBreak/>
        <w:t>NOTICE</w:t>
      </w:r>
      <w:r w:rsidR="00EF7595">
        <w:rPr>
          <w:rFonts w:cs="Arial"/>
          <w:szCs w:val="22"/>
        </w:rPr>
        <w:t xml:space="preserve"> and conditions for use</w:t>
      </w:r>
    </w:p>
    <w:p w14:paraId="2721668E" w14:textId="6DD455CE" w:rsidR="003853C5" w:rsidRPr="00DF4C95" w:rsidRDefault="003853C5" w:rsidP="00243142">
      <w:pPr>
        <w:pStyle w:val="CopyrightNoticeHeading"/>
        <w:spacing w:line="276" w:lineRule="auto"/>
        <w:jc w:val="left"/>
        <w:rPr>
          <w:rFonts w:cs="Arial"/>
          <w:szCs w:val="22"/>
        </w:rPr>
      </w:pPr>
      <w:r w:rsidRPr="00DF4C95">
        <w:rPr>
          <w:rFonts w:cs="Arial"/>
          <w:szCs w:val="22"/>
        </w:rPr>
        <w:fldChar w:fldCharType="begin"/>
      </w:r>
      <w:r w:rsidRPr="00DF4C95">
        <w:rPr>
          <w:rFonts w:cs="Arial"/>
          <w:szCs w:val="22"/>
        </w:rPr>
        <w:instrText xml:space="preserve"> IF </w:instrText>
      </w:r>
      <w:r w:rsidRPr="00DF4C95">
        <w:rPr>
          <w:rFonts w:cs="Arial"/>
          <w:szCs w:val="22"/>
        </w:rPr>
        <w:fldChar w:fldCharType="begin"/>
      </w:r>
      <w:r w:rsidRPr="00DF4C95">
        <w:rPr>
          <w:rFonts w:cs="Arial"/>
          <w:szCs w:val="22"/>
        </w:rPr>
        <w:instrText xml:space="preserve"> DOCPROPERTY "KI-IPR-RAND"  </w:instrText>
      </w:r>
      <w:r w:rsidRPr="00DF4C95">
        <w:rPr>
          <w:rFonts w:cs="Arial"/>
          <w:szCs w:val="22"/>
        </w:rPr>
        <w:fldChar w:fldCharType="separate"/>
      </w:r>
      <w:r w:rsidRPr="00DF4C95">
        <w:rPr>
          <w:rFonts w:cs="Arial"/>
          <w:szCs w:val="22"/>
        </w:rPr>
        <w:instrText>N</w:instrText>
      </w:r>
      <w:r w:rsidRPr="00DF4C95">
        <w:rPr>
          <w:rFonts w:cs="Arial"/>
          <w:szCs w:val="22"/>
        </w:rPr>
        <w:fldChar w:fldCharType="end"/>
      </w:r>
      <w:r w:rsidRPr="00DF4C95">
        <w:rPr>
          <w:rFonts w:cs="Arial"/>
          <w:szCs w:val="22"/>
        </w:rPr>
        <w:instrText xml:space="preserve"> = "Y" </w:instrText>
      </w:r>
      <w:r w:rsidRPr="00DF4C95">
        <w:rPr>
          <w:rFonts w:cs="Arial"/>
          <w:szCs w:val="22"/>
        </w:rPr>
        <w:fldChar w:fldCharType="begin"/>
      </w:r>
      <w:r w:rsidRPr="00DF4C95">
        <w:rPr>
          <w:rFonts w:cs="Arial"/>
          <w:szCs w:val="22"/>
        </w:rPr>
        <w:instrText xml:space="preserve"> AUTOTEXT KI-IPR-RAND-NOTICE </w:instrText>
      </w:r>
      <w:r w:rsidRPr="00DF4C95">
        <w:rPr>
          <w:rFonts w:cs="Arial"/>
          <w:szCs w:val="22"/>
        </w:rPr>
        <w:fldChar w:fldCharType="separate"/>
      </w:r>
      <w:r w:rsidRPr="00DF4C95">
        <w:rPr>
          <w:rFonts w:cs="Arial"/>
          <w:szCs w:val="22"/>
        </w:rPr>
        <w:instrText>This document has been prepared by Participants of Kantara Initiative, Inc. Permission is hereby granted to use the document solely for the purpose of implementing the Specification. No rights are granted to prepare derivative works of this Specification. Entities seeking permission to reproduce portions of this document for other uses must contact Kantara Initiative to determine whether an appropriate license for such use is available.</w:instrText>
      </w:r>
    </w:p>
    <w:p w14:paraId="47682D54" w14:textId="77777777" w:rsidR="003853C5" w:rsidRPr="00DF4C95" w:rsidRDefault="003853C5" w:rsidP="00243142">
      <w:pPr>
        <w:spacing w:line="276" w:lineRule="auto"/>
        <w:rPr>
          <w:rFonts w:cs="Arial"/>
          <w:szCs w:val="22"/>
        </w:rPr>
      </w:pPr>
      <w:r w:rsidRPr="00DF4C95">
        <w:rPr>
          <w:rFonts w:cs="Arial"/>
          <w:szCs w:val="22"/>
        </w:rPr>
        <w:instrText>Implementation or use of certain elements of this document may require licenses under third party intellectual property rights, including without limitation, patent rights. The Participants of and any other contributors to the Specification are not and shall not be held responsible in any manner for identifying or failing to identify any or all such third party intellectual property rights. This Specification is provided "AS IS," and no Participant in Kantara Initiative makes any warranty of any kind, expressed or implied, including any implied warranties of merchantability, non-infringement of third party intellectual property rights, and fitness for a particular purpose. Implementers of this Specification are advised to review Kantara Initiative’s website (http://www.kantarainitiative.org/) for information concerning any Necessary Claims Disclosure Notices that have been received by the Kantara Initiative Board of Directors.</w:instrText>
      </w:r>
    </w:p>
    <w:p w14:paraId="029FBDE5" w14:textId="77777777" w:rsidR="003853C5" w:rsidRPr="00DF4C95" w:rsidRDefault="003853C5" w:rsidP="00243142">
      <w:pPr>
        <w:spacing w:line="276" w:lineRule="auto"/>
        <w:rPr>
          <w:rFonts w:cs="Arial"/>
          <w:szCs w:val="22"/>
        </w:rPr>
      </w:pPr>
      <w:r w:rsidRPr="00DF4C95">
        <w:rPr>
          <w:rFonts w:cs="Arial"/>
          <w:szCs w:val="22"/>
        </w:rPr>
        <w:fldChar w:fldCharType="end"/>
      </w:r>
      <w:r w:rsidRPr="00DF4C95">
        <w:rPr>
          <w:rFonts w:cs="Arial"/>
          <w:szCs w:val="22"/>
        </w:rPr>
        <w:instrText xml:space="preserve">  "" \* MERGEFORMAT </w:instrText>
      </w:r>
      <w:r w:rsidRPr="00DF4C95">
        <w:rPr>
          <w:rFonts w:cs="Arial"/>
          <w:szCs w:val="22"/>
        </w:rPr>
        <w:fldChar w:fldCharType="end"/>
      </w:r>
      <w:r w:rsidRPr="00DF4C95">
        <w:rPr>
          <w:rFonts w:cs="Arial"/>
          <w:szCs w:val="22"/>
        </w:rPr>
        <w:fldChar w:fldCharType="begin"/>
      </w:r>
      <w:r w:rsidRPr="00DF4C95">
        <w:rPr>
          <w:rFonts w:cs="Arial"/>
          <w:szCs w:val="22"/>
        </w:rPr>
        <w:instrText xml:space="preserve"> IF </w:instrText>
      </w:r>
      <w:r w:rsidRPr="00DF4C95">
        <w:rPr>
          <w:rFonts w:cs="Arial"/>
          <w:szCs w:val="22"/>
        </w:rPr>
        <w:fldChar w:fldCharType="begin"/>
      </w:r>
      <w:r w:rsidRPr="00DF4C95">
        <w:rPr>
          <w:rFonts w:cs="Arial"/>
          <w:szCs w:val="22"/>
        </w:rPr>
        <w:instrText xml:space="preserve"> DOCPROPERTY "KI-IPR-CCSA"  </w:instrText>
      </w:r>
      <w:r w:rsidRPr="00DF4C95">
        <w:rPr>
          <w:rFonts w:cs="Arial"/>
          <w:szCs w:val="22"/>
        </w:rPr>
        <w:fldChar w:fldCharType="separate"/>
      </w:r>
      <w:r w:rsidRPr="00DF4C95">
        <w:rPr>
          <w:rFonts w:cs="Arial"/>
          <w:szCs w:val="22"/>
        </w:rPr>
        <w:instrText>N</w:instrText>
      </w:r>
      <w:r w:rsidRPr="00DF4C95">
        <w:rPr>
          <w:rFonts w:cs="Arial"/>
          <w:szCs w:val="22"/>
        </w:rPr>
        <w:fldChar w:fldCharType="end"/>
      </w:r>
      <w:r w:rsidRPr="00DF4C95">
        <w:rPr>
          <w:rFonts w:cs="Arial"/>
          <w:szCs w:val="22"/>
        </w:rPr>
        <w:instrText xml:space="preserve"> = "Y" </w:instrText>
      </w:r>
      <w:r w:rsidRPr="00DF4C95">
        <w:rPr>
          <w:rFonts w:cs="Arial"/>
          <w:szCs w:val="22"/>
        </w:rPr>
        <w:fldChar w:fldCharType="begin"/>
      </w:r>
      <w:r w:rsidRPr="00DF4C95">
        <w:rPr>
          <w:rFonts w:cs="Arial"/>
          <w:szCs w:val="22"/>
        </w:rPr>
        <w:instrText xml:space="preserve"> AUTOTEXT KI-IPR-CCSA-NOTICE </w:instrText>
      </w:r>
      <w:r w:rsidRPr="00DF4C95">
        <w:rPr>
          <w:rFonts w:cs="Arial"/>
          <w:szCs w:val="22"/>
        </w:rPr>
        <w:fldChar w:fldCharType="separate"/>
      </w:r>
      <w:r w:rsidRPr="00DF4C95">
        <w:rPr>
          <w:rFonts w:cs="Arial"/>
          <w:noProof/>
          <w:szCs w:val="22"/>
        </w:rPr>
        <w:drawing>
          <wp:inline distT="0" distB="0" distL="0" distR="0" wp14:anchorId="0E8B0DD6" wp14:editId="2687AB64">
            <wp:extent cx="1227455" cy="429260"/>
            <wp:effectExtent l="0" t="0" r="0" b="2540"/>
            <wp:docPr id="7" name="Picture 7"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p>
    <w:p w14:paraId="4544AD84" w14:textId="77777777" w:rsidR="003853C5" w:rsidRPr="00DF4C95" w:rsidRDefault="003853C5" w:rsidP="00243142">
      <w:pPr>
        <w:spacing w:line="276" w:lineRule="auto"/>
        <w:rPr>
          <w:rFonts w:cs="Arial"/>
          <w:szCs w:val="22"/>
        </w:rPr>
      </w:pPr>
      <w:r w:rsidRPr="00DF4C95">
        <w:rPr>
          <w:rFonts w:cs="Arial"/>
          <w:szCs w:val="22"/>
        </w:rPr>
        <w:instrText>This work is licensed under the Creative Commons Attribution-Share Alike 3.0 Unported License (CC BY</w:instrText>
      </w:r>
      <w:r w:rsidRPr="00DF4C95">
        <w:rPr>
          <w:rFonts w:cs="Arial"/>
          <w:szCs w:val="22"/>
        </w:rPr>
        <w:noBreakHyphen/>
        <w:instrText xml:space="preserve">SA 3.0). To view a copy of the license, visit </w:instrText>
      </w:r>
      <w:hyperlink r:id="rId12" w:history="1">
        <w:r w:rsidRPr="00DF4C95">
          <w:rPr>
            <w:rStyle w:val="Hyperlink"/>
            <w:rFonts w:cs="Arial"/>
            <w:szCs w:val="22"/>
          </w:rPr>
          <w:instrText>https://creativecommons.org/licenses/by-sa/3.0/</w:instrText>
        </w:r>
      </w:hyperlink>
    </w:p>
    <w:p w14:paraId="76C18B0D" w14:textId="77777777" w:rsidR="003853C5" w:rsidRPr="00DF4C95" w:rsidRDefault="003853C5" w:rsidP="00243142">
      <w:pPr>
        <w:spacing w:line="276" w:lineRule="auto"/>
        <w:rPr>
          <w:rFonts w:cs="Arial"/>
          <w:szCs w:val="22"/>
        </w:rPr>
      </w:pPr>
    </w:p>
    <w:p w14:paraId="7A006A5B" w14:textId="77777777" w:rsidR="003853C5" w:rsidRPr="00DF4C95" w:rsidRDefault="003853C5" w:rsidP="00243142">
      <w:pPr>
        <w:spacing w:line="276" w:lineRule="auto"/>
        <w:rPr>
          <w:rFonts w:cs="Arial"/>
          <w:szCs w:val="22"/>
        </w:rPr>
      </w:pPr>
      <w:r w:rsidRPr="00DF4C95">
        <w:rPr>
          <w:rFonts w:cs="Arial"/>
          <w:szCs w:val="22"/>
        </w:rPr>
        <w:instrText>You are free to:</w:instrText>
      </w:r>
    </w:p>
    <w:p w14:paraId="7CFD0FD4" w14:textId="77777777" w:rsidR="003853C5" w:rsidRPr="00DF4C95" w:rsidRDefault="003853C5" w:rsidP="00243142">
      <w:pPr>
        <w:spacing w:line="276" w:lineRule="auto"/>
        <w:ind w:left="720"/>
        <w:rPr>
          <w:rFonts w:cs="Arial"/>
          <w:szCs w:val="22"/>
        </w:rPr>
      </w:pPr>
      <w:r w:rsidRPr="00DF4C95">
        <w:rPr>
          <w:rFonts w:cs="Arial"/>
          <w:szCs w:val="22"/>
        </w:rPr>
        <w:instrText>Share — copy and redistribute the material in any medium or format</w:instrText>
      </w:r>
      <w:r w:rsidRPr="00DF4C95">
        <w:rPr>
          <w:rFonts w:cs="Arial"/>
          <w:szCs w:val="22"/>
        </w:rPr>
        <w:br/>
        <w:instrText>Adapt — remix, transform, and build upon the material for any purpose, even commercially.</w:instrText>
      </w:r>
    </w:p>
    <w:p w14:paraId="13553214" w14:textId="77777777" w:rsidR="003853C5" w:rsidRPr="00DF4C95" w:rsidRDefault="003853C5" w:rsidP="00243142">
      <w:pPr>
        <w:spacing w:line="276" w:lineRule="auto"/>
        <w:ind w:left="720"/>
        <w:rPr>
          <w:rFonts w:cs="Arial"/>
          <w:szCs w:val="22"/>
        </w:rPr>
      </w:pPr>
      <w:r w:rsidRPr="00DF4C95">
        <w:rPr>
          <w:rFonts w:cs="Arial"/>
          <w:szCs w:val="22"/>
        </w:rPr>
        <w:instrText>This license is acceptable for Free Cultural Works.</w:instrText>
      </w:r>
    </w:p>
    <w:p w14:paraId="466ED8B2" w14:textId="77777777" w:rsidR="003853C5" w:rsidRPr="00DF4C95" w:rsidRDefault="003853C5" w:rsidP="00243142">
      <w:pPr>
        <w:spacing w:line="276" w:lineRule="auto"/>
        <w:ind w:left="720"/>
        <w:rPr>
          <w:rFonts w:cs="Arial"/>
          <w:szCs w:val="22"/>
        </w:rPr>
      </w:pPr>
      <w:r w:rsidRPr="00DF4C95">
        <w:rPr>
          <w:rFonts w:cs="Arial"/>
          <w:szCs w:val="22"/>
        </w:rPr>
        <w:instrText>The licensor cannot revoke these freedoms as long as you follow the license terms.</w:instrText>
      </w:r>
    </w:p>
    <w:p w14:paraId="257BFDAE" w14:textId="77777777" w:rsidR="003853C5" w:rsidRPr="00DF4C95" w:rsidRDefault="003853C5" w:rsidP="00243142">
      <w:pPr>
        <w:spacing w:line="276" w:lineRule="auto"/>
        <w:rPr>
          <w:rFonts w:cs="Arial"/>
          <w:szCs w:val="22"/>
        </w:rPr>
      </w:pPr>
      <w:r w:rsidRPr="00DF4C95">
        <w:rPr>
          <w:rFonts w:cs="Arial"/>
          <w:szCs w:val="22"/>
        </w:rPr>
        <w:instrText>Under the following terms:</w:instrText>
      </w:r>
    </w:p>
    <w:p w14:paraId="20BFCDF6" w14:textId="77777777" w:rsidR="003853C5" w:rsidRPr="00DF4C95" w:rsidRDefault="003853C5" w:rsidP="00243142">
      <w:pPr>
        <w:spacing w:line="276" w:lineRule="auto"/>
        <w:ind w:left="720"/>
        <w:rPr>
          <w:rFonts w:cs="Arial"/>
          <w:szCs w:val="22"/>
        </w:rPr>
      </w:pPr>
      <w:r w:rsidRPr="00DF4C95">
        <w:rPr>
          <w:rFonts w:cs="Arial"/>
          <w:szCs w:val="22"/>
        </w:rPr>
        <w:instrText>Attribution — You must give appropriate credit, provide a link to the license, and indicate if changes were made. You may do so in any reasonable manner, but not in any way that suggests the licensor endorses you or your use.</w:instrText>
      </w:r>
    </w:p>
    <w:p w14:paraId="794D105C" w14:textId="77777777" w:rsidR="003853C5" w:rsidRPr="00DF4C95" w:rsidRDefault="003853C5" w:rsidP="00243142">
      <w:pPr>
        <w:spacing w:line="276" w:lineRule="auto"/>
        <w:ind w:left="720"/>
        <w:rPr>
          <w:rFonts w:cs="Arial"/>
          <w:szCs w:val="22"/>
        </w:rPr>
      </w:pPr>
      <w:r w:rsidRPr="00DF4C95">
        <w:rPr>
          <w:rFonts w:cs="Arial"/>
          <w:szCs w:val="22"/>
        </w:rPr>
        <w:instrText>ShareAlike — If you remix, transform, or build upon the material, you must distribute your contributions under the same license as the original.</w:instrText>
      </w:r>
    </w:p>
    <w:p w14:paraId="1C7989E4" w14:textId="77777777" w:rsidR="003853C5" w:rsidRPr="00DF4C95" w:rsidRDefault="003853C5" w:rsidP="00243142">
      <w:pPr>
        <w:spacing w:line="276" w:lineRule="auto"/>
        <w:ind w:left="720"/>
        <w:rPr>
          <w:rFonts w:cs="Arial"/>
          <w:szCs w:val="22"/>
        </w:rPr>
      </w:pPr>
      <w:r w:rsidRPr="00DF4C95">
        <w:rPr>
          <w:rFonts w:cs="Arial"/>
          <w:szCs w:val="22"/>
        </w:rPr>
        <w:instrText>No additional restrictions — You may not apply legal terms or technological measures that legally restrict others from doing anything the license permits.</w:instrText>
      </w:r>
    </w:p>
    <w:p w14:paraId="7DABBC07" w14:textId="77777777" w:rsidR="003853C5" w:rsidRPr="00DF4C95" w:rsidRDefault="003853C5" w:rsidP="00243142">
      <w:pPr>
        <w:spacing w:line="276" w:lineRule="auto"/>
        <w:rPr>
          <w:rFonts w:cs="Arial"/>
          <w:b/>
          <w:szCs w:val="22"/>
        </w:rPr>
      </w:pPr>
      <w:r w:rsidRPr="00DF4C95">
        <w:rPr>
          <w:rFonts w:cs="Arial"/>
          <w:b/>
          <w:szCs w:val="22"/>
        </w:rPr>
        <w:instrText>Notices:</w:instrText>
      </w:r>
    </w:p>
    <w:p w14:paraId="40594E55" w14:textId="77777777" w:rsidR="003853C5" w:rsidRPr="00DF4C95" w:rsidRDefault="003853C5" w:rsidP="00243142">
      <w:pPr>
        <w:spacing w:line="276" w:lineRule="auto"/>
        <w:rPr>
          <w:rFonts w:cs="Arial"/>
          <w:szCs w:val="22"/>
        </w:rPr>
      </w:pPr>
      <w:r w:rsidRPr="00DF4C95">
        <w:rPr>
          <w:rFonts w:cs="Arial"/>
          <w:szCs w:val="22"/>
        </w:rPr>
        <w:instrText>You do not have to comply with the license for elements of the material in the public domain or where your use is permitted by an applicable exception or limitation.</w:instrText>
      </w:r>
    </w:p>
    <w:p w14:paraId="3D1EDB09" w14:textId="77777777" w:rsidR="003853C5" w:rsidRPr="00DF4C95" w:rsidRDefault="003853C5" w:rsidP="00243142">
      <w:pPr>
        <w:spacing w:line="276" w:lineRule="auto"/>
        <w:rPr>
          <w:rFonts w:cs="Arial"/>
          <w:szCs w:val="22"/>
        </w:rPr>
      </w:pPr>
      <w:r w:rsidRPr="00DF4C95">
        <w:rPr>
          <w:rFonts w:cs="Arial"/>
          <w:szCs w:val="22"/>
        </w:rPr>
        <w:instrText>No warranties are given. The license may not give you all of the permissions necessary for your intended use. For example, other rights such as publicity, privacy, or moral rights may limit how you use the material.</w:instrText>
      </w:r>
    </w:p>
    <w:p w14:paraId="63C5BF09" w14:textId="77777777" w:rsidR="003853C5" w:rsidRPr="00DF4C95" w:rsidRDefault="003853C5" w:rsidP="00243142">
      <w:pPr>
        <w:spacing w:line="276" w:lineRule="auto"/>
        <w:rPr>
          <w:rFonts w:cs="Arial"/>
          <w:szCs w:val="22"/>
        </w:rPr>
      </w:pPr>
    </w:p>
    <w:p w14:paraId="343EA326" w14:textId="77777777" w:rsidR="003853C5" w:rsidRPr="00DF4C95" w:rsidRDefault="003853C5" w:rsidP="00243142">
      <w:pPr>
        <w:spacing w:line="276" w:lineRule="auto"/>
        <w:rPr>
          <w:rFonts w:cs="Arial"/>
          <w:szCs w:val="22"/>
        </w:rPr>
      </w:pPr>
      <w:r w:rsidRPr="00DF4C95">
        <w:rPr>
          <w:rFonts w:cs="Arial"/>
          <w:szCs w:val="22"/>
        </w:rPr>
        <w:instrText>For any reuse or distribution, you must make clear to others the license terms of this work. The best way to do this is with a link to this document.</w:instrText>
      </w:r>
    </w:p>
    <w:p w14:paraId="6205AB57" w14:textId="6F470F55" w:rsidR="003853C5" w:rsidRDefault="003853C5" w:rsidP="00243142">
      <w:pPr>
        <w:spacing w:line="276" w:lineRule="auto"/>
        <w:rPr>
          <w:rFonts w:cs="Arial"/>
          <w:szCs w:val="22"/>
        </w:rPr>
      </w:pPr>
      <w:r w:rsidRPr="00DF4C95">
        <w:rPr>
          <w:rFonts w:cs="Arial"/>
          <w:szCs w:val="22"/>
        </w:rPr>
        <w:fldChar w:fldCharType="end"/>
      </w:r>
      <w:r w:rsidRPr="00DF4C95">
        <w:rPr>
          <w:rFonts w:cs="Arial"/>
          <w:szCs w:val="22"/>
        </w:rPr>
        <w:instrText xml:space="preserve">  "" \* MERGEFORMAT </w:instrText>
      </w:r>
      <w:r w:rsidRPr="00DF4C95">
        <w:rPr>
          <w:rFonts w:cs="Arial"/>
          <w:szCs w:val="22"/>
        </w:rPr>
        <w:fldChar w:fldCharType="end"/>
      </w:r>
      <w:r w:rsidRPr="00DF4C95">
        <w:rPr>
          <w:rFonts w:cs="Arial"/>
          <w:szCs w:val="22"/>
        </w:rPr>
        <w:fldChar w:fldCharType="begin"/>
      </w:r>
      <w:r w:rsidRPr="00DF4C95">
        <w:rPr>
          <w:rFonts w:cs="Arial"/>
          <w:szCs w:val="22"/>
        </w:rPr>
        <w:instrText xml:space="preserve"> IF </w:instrText>
      </w:r>
      <w:r w:rsidRPr="00DF4C95">
        <w:rPr>
          <w:rFonts w:cs="Arial"/>
          <w:szCs w:val="22"/>
        </w:rPr>
        <w:fldChar w:fldCharType="begin"/>
      </w:r>
      <w:r w:rsidRPr="00DF4C95">
        <w:rPr>
          <w:rFonts w:cs="Arial"/>
          <w:szCs w:val="22"/>
        </w:rPr>
        <w:instrText xml:space="preserve"> DOCPROPERTY "KI-IPR-APACHE"  </w:instrText>
      </w:r>
      <w:r w:rsidRPr="00DF4C95">
        <w:rPr>
          <w:rFonts w:cs="Arial"/>
          <w:szCs w:val="22"/>
        </w:rPr>
        <w:fldChar w:fldCharType="separate"/>
      </w:r>
      <w:r w:rsidRPr="00DF4C95">
        <w:rPr>
          <w:rFonts w:cs="Arial"/>
          <w:szCs w:val="22"/>
        </w:rPr>
        <w:instrText>N</w:instrText>
      </w:r>
      <w:r w:rsidRPr="00DF4C95">
        <w:rPr>
          <w:rFonts w:cs="Arial"/>
          <w:szCs w:val="22"/>
        </w:rPr>
        <w:fldChar w:fldCharType="end"/>
      </w:r>
      <w:r w:rsidRPr="00DF4C95">
        <w:rPr>
          <w:rFonts w:cs="Arial"/>
          <w:szCs w:val="22"/>
        </w:rPr>
        <w:instrText xml:space="preserve"> = "Y" </w:instrText>
      </w:r>
      <w:r w:rsidRPr="00DF4C95">
        <w:rPr>
          <w:rFonts w:cs="Arial"/>
          <w:szCs w:val="22"/>
        </w:rPr>
        <w:fldChar w:fldCharType="begin"/>
      </w:r>
      <w:r w:rsidRPr="00DF4C95">
        <w:rPr>
          <w:rFonts w:cs="Arial"/>
          <w:szCs w:val="22"/>
        </w:rPr>
        <w:instrText xml:space="preserve"> AUTOTEXT KI-IPR-APACHE-NOTICE </w:instrText>
      </w:r>
      <w:r w:rsidRPr="00DF4C95">
        <w:rPr>
          <w:rFonts w:cs="Arial"/>
          <w:szCs w:val="22"/>
        </w:rPr>
        <w:fldChar w:fldCharType="separate"/>
      </w:r>
      <w:r w:rsidRPr="00DF4C95">
        <w:rPr>
          <w:rFonts w:cs="Arial"/>
          <w:szCs w:val="22"/>
        </w:rPr>
        <w:instrText>. It has been approved by the Leadership Council of the Kantara Initiative.</w:instrText>
      </w:r>
      <w:r w:rsidRPr="00DF4C95">
        <w:rPr>
          <w:rFonts w:cs="Arial"/>
          <w:szCs w:val="22"/>
        </w:rPr>
        <w:fldChar w:fldCharType="end"/>
      </w:r>
      <w:r w:rsidRPr="00DF4C95">
        <w:rPr>
          <w:rFonts w:cs="Arial"/>
          <w:szCs w:val="22"/>
        </w:rPr>
        <w:instrText xml:space="preserve">  "" \* MERGEFORMAT </w:instrText>
      </w:r>
      <w:r w:rsidRPr="00DF4C95">
        <w:rPr>
          <w:rFonts w:cs="Arial"/>
          <w:szCs w:val="22"/>
        </w:rPr>
        <w:fldChar w:fldCharType="end"/>
      </w:r>
      <w:r w:rsidRPr="00DF4C95">
        <w:rPr>
          <w:rFonts w:cs="Arial"/>
          <w:szCs w:val="22"/>
        </w:rPr>
        <w:t>Copyright: The content of this document is copyright of Kantara Initiative, Inc.</w:t>
      </w:r>
      <w:r w:rsidRPr="00DF4C95">
        <w:rPr>
          <w:rFonts w:cs="Arial"/>
          <w:szCs w:val="22"/>
        </w:rPr>
        <w:br/>
        <w:t>© 2025 Kantara Initiative, Inc.</w:t>
      </w:r>
    </w:p>
    <w:p w14:paraId="14CB3BF5" w14:textId="6ABEF916" w:rsidR="00444B69" w:rsidRDefault="00444B69" w:rsidP="00243142">
      <w:pPr>
        <w:spacing w:line="276" w:lineRule="auto"/>
        <w:rPr>
          <w:rFonts w:cs="Arial"/>
          <w:szCs w:val="22"/>
        </w:rPr>
      </w:pPr>
    </w:p>
    <w:p w14:paraId="5D512F6B" w14:textId="77777777" w:rsidR="00444B69" w:rsidRPr="00444B69" w:rsidRDefault="00444B69" w:rsidP="00243142">
      <w:pPr>
        <w:pBdr>
          <w:top w:val="nil"/>
          <w:left w:val="nil"/>
          <w:bottom w:val="nil"/>
          <w:right w:val="nil"/>
          <w:between w:val="nil"/>
        </w:pBdr>
        <w:spacing w:line="276" w:lineRule="auto"/>
        <w:rPr>
          <w:rFonts w:cs="Arial"/>
          <w:color w:val="000000"/>
          <w:szCs w:val="22"/>
        </w:rPr>
      </w:pPr>
      <w:r w:rsidRPr="00444B69">
        <w:rPr>
          <w:rFonts w:eastAsia="Times New Roman" w:cs="Arial"/>
          <w:b/>
          <w:color w:val="000000"/>
          <w:szCs w:val="22"/>
        </w:rPr>
        <w:t xml:space="preserve">License Condition: </w:t>
      </w:r>
    </w:p>
    <w:p w14:paraId="0E94F783" w14:textId="77777777" w:rsidR="00444B69" w:rsidRPr="00444B69" w:rsidRDefault="00444B69" w:rsidP="00243142">
      <w:pPr>
        <w:pBdr>
          <w:top w:val="nil"/>
          <w:left w:val="nil"/>
          <w:bottom w:val="nil"/>
          <w:right w:val="nil"/>
          <w:between w:val="nil"/>
        </w:pBdr>
        <w:spacing w:line="276" w:lineRule="auto"/>
        <w:rPr>
          <w:rFonts w:cs="Arial"/>
          <w:color w:val="000000"/>
          <w:szCs w:val="22"/>
        </w:rPr>
      </w:pPr>
      <w:r w:rsidRPr="00444B69">
        <w:rPr>
          <w:rFonts w:eastAsia="Times New Roman" w:cs="Arial"/>
          <w:color w:val="000000"/>
          <w:szCs w:val="22"/>
        </w:rPr>
        <w:t xml:space="preserve">This document has been prepared by participants of Kantara Initiative Inc. ANCR-WG. No rights are granted to prepare derivative works of this ANCR Scheme outside of the ANCR WG. Entities seeking permission to reproduce this document, in whole or in part, for other uses must contact the Kantara Initiative to determine whether an appropriate license for such use is available.  </w:t>
      </w:r>
    </w:p>
    <w:p w14:paraId="03E815B0" w14:textId="77777777" w:rsidR="00444B69" w:rsidRPr="00444B69" w:rsidRDefault="00444B69" w:rsidP="00243142">
      <w:pPr>
        <w:pBdr>
          <w:top w:val="nil"/>
          <w:left w:val="nil"/>
          <w:bottom w:val="nil"/>
          <w:right w:val="nil"/>
          <w:between w:val="nil"/>
        </w:pBdr>
        <w:spacing w:line="276" w:lineRule="auto"/>
        <w:rPr>
          <w:rFonts w:cs="Arial"/>
          <w:szCs w:val="22"/>
        </w:rPr>
      </w:pPr>
    </w:p>
    <w:p w14:paraId="3CE394C3" w14:textId="7DB674CB" w:rsidR="003853C5" w:rsidRPr="004661F5" w:rsidRDefault="00444B69" w:rsidP="004661F5">
      <w:pPr>
        <w:pBdr>
          <w:top w:val="nil"/>
          <w:left w:val="nil"/>
          <w:bottom w:val="nil"/>
          <w:right w:val="nil"/>
          <w:between w:val="nil"/>
        </w:pBdr>
        <w:spacing w:line="276" w:lineRule="auto"/>
        <w:rPr>
          <w:rFonts w:cs="Arial"/>
          <w:color w:val="000000"/>
        </w:rPr>
      </w:pPr>
      <w:r w:rsidRPr="0C2E1696">
        <w:rPr>
          <w:rFonts w:eastAsia="Times New Roman" w:cs="Arial"/>
          <w:color w:val="000000"/>
        </w:rPr>
        <w:t>Implementation or use of this document may require licenses under third</w:t>
      </w:r>
      <w:r w:rsidR="00243142">
        <w:rPr>
          <w:rFonts w:eastAsia="Times New Roman" w:cs="Arial"/>
          <w:color w:val="000000"/>
        </w:rPr>
        <w:t>-</w:t>
      </w:r>
      <w:r w:rsidRPr="0C2E1696">
        <w:rPr>
          <w:rFonts w:eastAsia="Times New Roman" w:cs="Arial"/>
          <w:color w:val="000000"/>
        </w:rPr>
        <w:t>party intellectual property rights, including</w:t>
      </w:r>
      <w:r w:rsidR="00EF7595" w:rsidRPr="0C2E1696">
        <w:rPr>
          <w:rFonts w:eastAsia="Times New Roman" w:cs="Arial"/>
          <w:color w:val="000000"/>
        </w:rPr>
        <w:t>,</w:t>
      </w:r>
      <w:r w:rsidRPr="0C2E1696">
        <w:rPr>
          <w:rFonts w:eastAsia="Times New Roman" w:cs="Arial"/>
          <w:color w:val="000000"/>
        </w:rPr>
        <w:t xml:space="preserve"> without limitation, patent rights. The participants and any other contributors to the specification are not and shall not be held responsible in any manner for identifying or failing to identify any or all such third-party intellectual property rights. This Specification is provided "AS IS," and no Participant in Kantara Initiative makes any warranty of any kind, express or implied, including any warranties of merchantability, non-infringement of third-party intellectual property rights, or fitness for a particular purpose. Implementers of this Transparency Performance Indicators specification are advised to review </w:t>
      </w:r>
      <w:hyperlink r:id="rId13" w:history="1">
        <w:r w:rsidRPr="00950E34">
          <w:rPr>
            <w:rStyle w:val="Hyperlink"/>
            <w:rFonts w:eastAsia="Times New Roman" w:cs="Arial"/>
          </w:rPr>
          <w:t>Kantara Initiative</w:t>
        </w:r>
      </w:hyperlink>
      <w:r w:rsidRPr="0C2E1696">
        <w:rPr>
          <w:rFonts w:eastAsia="Times New Roman" w:cs="Arial"/>
          <w:color w:val="000000"/>
        </w:rPr>
        <w:t>’s website for information concerning any Necessary Claims Disclosure Notices that have been received by the Kantara Initiative Board of Directors.</w:t>
      </w:r>
    </w:p>
    <w:p w14:paraId="2CF76E58" w14:textId="77777777" w:rsidR="004661F5" w:rsidRDefault="004661F5" w:rsidP="003853C5">
      <w:pPr>
        <w:pStyle w:val="CopyrightNoticeHeading"/>
        <w:pageBreakBefore w:val="0"/>
        <w:rPr>
          <w:rFonts w:cs="Arial"/>
          <w:szCs w:val="22"/>
          <w:lang w:val="en-CA"/>
        </w:rPr>
      </w:pPr>
    </w:p>
    <w:p w14:paraId="76103598" w14:textId="070A309B" w:rsidR="003853C5" w:rsidRPr="003853C5" w:rsidRDefault="003853C5" w:rsidP="003853C5">
      <w:pPr>
        <w:pStyle w:val="CopyrightNoticeHeading"/>
        <w:pageBreakBefore w:val="0"/>
        <w:rPr>
          <w:rFonts w:cs="Arial"/>
          <w:szCs w:val="22"/>
          <w:lang w:val="en-CA"/>
        </w:rPr>
      </w:pPr>
      <w:r w:rsidRPr="003853C5">
        <w:rPr>
          <w:rFonts w:cs="Arial"/>
          <w:szCs w:val="22"/>
          <w:lang w:val="en-CA"/>
        </w:rPr>
        <w:t>Dear reader</w:t>
      </w:r>
    </w:p>
    <w:p w14:paraId="06E0CB4E" w14:textId="33C937FD" w:rsidR="00444B69" w:rsidRPr="00950E34" w:rsidRDefault="00444B69" w:rsidP="00243142">
      <w:pPr>
        <w:pBdr>
          <w:top w:val="nil"/>
          <w:left w:val="nil"/>
          <w:bottom w:val="nil"/>
          <w:right w:val="nil"/>
          <w:between w:val="nil"/>
        </w:pBdr>
        <w:rPr>
          <w:rStyle w:val="SubtleEmphasis"/>
        </w:rPr>
      </w:pPr>
      <w:r w:rsidRPr="00950E34">
        <w:rPr>
          <w:rStyle w:val="SubtleEmphasis"/>
        </w:rPr>
        <w:t xml:space="preserve">Thank you for reviewing this specification in its preparation for publication and contribution. </w:t>
      </w:r>
      <w:r w:rsidR="00950E34" w:rsidRPr="00950E34">
        <w:rPr>
          <w:rStyle w:val="SubtleEmphasis"/>
        </w:rPr>
        <w:t>K</w:t>
      </w:r>
      <w:r w:rsidRPr="00950E34">
        <w:rPr>
          <w:rStyle w:val="SubtleEmphasis"/>
        </w:rPr>
        <w:t xml:space="preserve">antara Initiative is a global non-profit dedicated to improving </w:t>
      </w:r>
      <w:r w:rsidR="00EF7595" w:rsidRPr="00950E34">
        <w:rPr>
          <w:rStyle w:val="SubtleEmphasis"/>
        </w:rPr>
        <w:t xml:space="preserve">the </w:t>
      </w:r>
      <w:r w:rsidRPr="00950E34">
        <w:rPr>
          <w:rStyle w:val="SubtleEmphasis"/>
        </w:rPr>
        <w:t>secure, private</w:t>
      </w:r>
      <w:r w:rsidR="00EF7595" w:rsidRPr="00950E34">
        <w:rPr>
          <w:rStyle w:val="SubtleEmphasis"/>
        </w:rPr>
        <w:t>,</w:t>
      </w:r>
      <w:r w:rsidRPr="00950E34">
        <w:rPr>
          <w:rStyle w:val="SubtleEmphasis"/>
        </w:rPr>
        <w:t xml:space="preserve"> and trustworthy use of digital identifier surveillance through innovation, standardi</w:t>
      </w:r>
      <w:r w:rsidR="00EF7595" w:rsidRPr="00950E34">
        <w:rPr>
          <w:rStyle w:val="SubtleEmphasis"/>
        </w:rPr>
        <w:t>z</w:t>
      </w:r>
      <w:r w:rsidRPr="00950E34">
        <w:rPr>
          <w:rStyle w:val="SubtleEmphasis"/>
        </w:rPr>
        <w:t>ation, and good practice.</w:t>
      </w:r>
    </w:p>
    <w:p w14:paraId="3B3A5434" w14:textId="77777777" w:rsidR="00950E34" w:rsidRPr="00D371C0" w:rsidRDefault="00950E34" w:rsidP="00243142">
      <w:pPr>
        <w:rPr>
          <w:rStyle w:val="SubtleEmphasis"/>
          <w:rFonts w:cs="Arial"/>
          <w:szCs w:val="22"/>
        </w:rPr>
      </w:pPr>
      <w:r w:rsidRPr="00D371C0">
        <w:rPr>
          <w:rStyle w:val="SubtleEmphasis"/>
          <w:rFonts w:cs="Arial"/>
          <w:szCs w:val="22"/>
        </w:rPr>
        <w:t>Kantara is known around the world for incubating innovative concepts, operating Trust Frameworks to assure digital identity &amp; privacy service providers, and developing community-led best practices and specifications. Its efforts are acknowledged by OECD ITAC, UNCITRAL, ISO SC27, other consortia, and governments around the world. '</w:t>
      </w:r>
      <w:r>
        <w:rPr>
          <w:rStyle w:val="SubtleEmphasis"/>
          <w:rFonts w:cs="Arial"/>
          <w:szCs w:val="22"/>
        </w:rPr>
        <w:t>Join, Innovate, Trust’</w:t>
      </w:r>
      <w:r w:rsidRPr="00D371C0">
        <w:rPr>
          <w:rStyle w:val="SubtleEmphasis"/>
          <w:rFonts w:cs="Arial"/>
          <w:szCs w:val="22"/>
        </w:rPr>
        <w:t xml:space="preserve"> captures the rhythm of Kantara in consolidating an inclusive, equitable digital economy offering value and benefit to all.</w:t>
      </w:r>
    </w:p>
    <w:p w14:paraId="759BD390" w14:textId="3C0458BC" w:rsidR="003853C5" w:rsidRDefault="00950E34" w:rsidP="00243142">
      <w:r w:rsidRPr="00D371C0">
        <w:rPr>
          <w:rStyle w:val="SubtleEmphasis"/>
          <w:rFonts w:cs="Arial"/>
          <w:szCs w:val="22"/>
        </w:rPr>
        <w:t>Every publication, in every domain, is capable of improvement. Kantara welcomes and values your contribution through</w:t>
      </w:r>
      <w:r w:rsidRPr="00D371C0">
        <w:rPr>
          <w:rStyle w:val="SubtleEmphasis"/>
          <w:rFonts w:cs="Arial"/>
          <w:color w:val="0563C1"/>
          <w:szCs w:val="22"/>
        </w:rPr>
        <w:t xml:space="preserve"> </w:t>
      </w:r>
      <w:hyperlink r:id="rId14" w:history="1">
        <w:r w:rsidRPr="00D371C0">
          <w:rPr>
            <w:rStyle w:val="Hyperlink"/>
            <w:rFonts w:cs="Arial"/>
            <w:i/>
            <w:iCs/>
            <w:color w:val="0563C1"/>
            <w:szCs w:val="22"/>
          </w:rPr>
          <w:t>membership</w:t>
        </w:r>
      </w:hyperlink>
      <w:r w:rsidRPr="00483658">
        <w:rPr>
          <w:color w:val="404040" w:themeColor="text1" w:themeTint="BF"/>
        </w:rPr>
        <w:t xml:space="preserve">, </w:t>
      </w:r>
      <w:r w:rsidRPr="00483658">
        <w:rPr>
          <w:i/>
          <w:iCs/>
          <w:color w:val="404040" w:themeColor="text1" w:themeTint="BF"/>
        </w:rPr>
        <w:t>sponsorship,</w:t>
      </w:r>
      <w:r w:rsidRPr="00483658">
        <w:rPr>
          <w:rStyle w:val="SubtleEmphasis"/>
          <w:rFonts w:cs="Arial"/>
          <w:szCs w:val="22"/>
        </w:rPr>
        <w:t xml:space="preserve"> active </w:t>
      </w:r>
      <w:r w:rsidRPr="00D371C0">
        <w:rPr>
          <w:rStyle w:val="SubtleEmphasis"/>
          <w:rFonts w:cs="Arial"/>
          <w:szCs w:val="22"/>
        </w:rPr>
        <w:t xml:space="preserve">participation in the </w:t>
      </w:r>
      <w:hyperlink r:id="rId15" w:anchor=":~:text=Kantara%20Initiative%20Work%20and%20Discussion,identity%20information%20and%20personal%20data." w:history="1">
        <w:r w:rsidRPr="00D371C0">
          <w:rPr>
            <w:rStyle w:val="Hyperlink"/>
            <w:rFonts w:cs="Arial"/>
            <w:i/>
            <w:iCs/>
            <w:color w:val="0563C1"/>
            <w:szCs w:val="22"/>
          </w:rPr>
          <w:t>Work Group</w:t>
        </w:r>
      </w:hyperlink>
      <w:r w:rsidRPr="00D371C0">
        <w:rPr>
          <w:rStyle w:val="SubtleEmphasis"/>
          <w:rFonts w:cs="Arial"/>
          <w:szCs w:val="22"/>
        </w:rPr>
        <w:t xml:space="preserve"> </w:t>
      </w:r>
      <w:r w:rsidRPr="00D371C0">
        <w:rPr>
          <w:rStyle w:val="SubtleEmphasis"/>
          <w:rFonts w:cs="Arial"/>
          <w:szCs w:val="22"/>
        </w:rPr>
        <w:lastRenderedPageBreak/>
        <w:t>that produced this, and participation in all our endeavors so that Kantara can reflect its value to you and your organization.</w:t>
      </w:r>
      <w:r w:rsidR="003853C5">
        <w:br w:type="page"/>
      </w:r>
    </w:p>
    <w:p w14:paraId="0B577224" w14:textId="6D71EB3E" w:rsidR="003853C5" w:rsidRDefault="00E94567" w:rsidP="003853C5">
      <w:pPr>
        <w:rPr>
          <w:rFonts w:cs="Arial"/>
          <w:b/>
          <w:bCs/>
          <w:szCs w:val="22"/>
        </w:rPr>
      </w:pPr>
      <w:r>
        <w:rPr>
          <w:rFonts w:cs="Arial"/>
          <w:b/>
          <w:bCs/>
          <w:szCs w:val="22"/>
        </w:rPr>
        <w:lastRenderedPageBreak/>
        <w:t>Table of C</w:t>
      </w:r>
      <w:r w:rsidR="003853C5" w:rsidRPr="003853C5">
        <w:rPr>
          <w:rFonts w:cs="Arial"/>
          <w:b/>
          <w:bCs/>
          <w:szCs w:val="22"/>
        </w:rPr>
        <w:t>ontents</w:t>
      </w:r>
      <w:r w:rsidR="001E5347">
        <w:rPr>
          <w:rFonts w:cs="Arial"/>
          <w:b/>
          <w:bCs/>
          <w:szCs w:val="22"/>
        </w:rPr>
        <w:t xml:space="preserve"> </w:t>
      </w:r>
    </w:p>
    <w:p w14:paraId="30529021" w14:textId="0F8F2F3C" w:rsidR="004661F5" w:rsidRDefault="001E5347">
      <w:pPr>
        <w:pStyle w:val="TOC1"/>
        <w:rPr>
          <w:rFonts w:eastAsiaTheme="minorEastAsia" w:cstheme="minorBidi"/>
          <w:b w:val="0"/>
          <w:bCs w:val="0"/>
          <w:caps w:val="0"/>
          <w:noProof/>
          <w:sz w:val="24"/>
          <w:szCs w:val="24"/>
        </w:rPr>
      </w:pPr>
      <w:r w:rsidRPr="008F1888">
        <w:rPr>
          <w:rFonts w:ascii="Arial" w:hAnsi="Arial" w:cs="Arial"/>
          <w:szCs w:val="22"/>
        </w:rPr>
        <w:fldChar w:fldCharType="begin"/>
      </w:r>
      <w:r w:rsidRPr="008F1888">
        <w:rPr>
          <w:rFonts w:ascii="Arial" w:hAnsi="Arial" w:cs="Arial"/>
          <w:szCs w:val="22"/>
        </w:rPr>
        <w:instrText xml:space="preserve"> TOC \o "1-2" \h \z \u </w:instrText>
      </w:r>
      <w:r w:rsidRPr="008F1888">
        <w:rPr>
          <w:rFonts w:ascii="Arial" w:hAnsi="Arial" w:cs="Arial"/>
          <w:szCs w:val="22"/>
        </w:rPr>
        <w:fldChar w:fldCharType="separate"/>
      </w:r>
      <w:hyperlink w:anchor="_Toc193376348" w:history="1">
        <w:r w:rsidR="004661F5" w:rsidRPr="002C4A31">
          <w:rPr>
            <w:rStyle w:val="Hyperlink"/>
            <w:noProof/>
          </w:rPr>
          <w:t>1. Introduction</w:t>
        </w:r>
        <w:r w:rsidR="004661F5">
          <w:rPr>
            <w:noProof/>
            <w:webHidden/>
          </w:rPr>
          <w:tab/>
        </w:r>
        <w:r w:rsidR="004661F5">
          <w:rPr>
            <w:noProof/>
            <w:webHidden/>
          </w:rPr>
          <w:fldChar w:fldCharType="begin"/>
        </w:r>
        <w:r w:rsidR="004661F5">
          <w:rPr>
            <w:noProof/>
            <w:webHidden/>
          </w:rPr>
          <w:instrText xml:space="preserve"> PAGEREF _Toc193376348 \h </w:instrText>
        </w:r>
        <w:r w:rsidR="004661F5">
          <w:rPr>
            <w:noProof/>
            <w:webHidden/>
          </w:rPr>
        </w:r>
        <w:r w:rsidR="004661F5">
          <w:rPr>
            <w:noProof/>
            <w:webHidden/>
          </w:rPr>
          <w:fldChar w:fldCharType="separate"/>
        </w:r>
        <w:r w:rsidR="004661F5">
          <w:rPr>
            <w:noProof/>
            <w:webHidden/>
          </w:rPr>
          <w:t>7</w:t>
        </w:r>
        <w:r w:rsidR="004661F5">
          <w:rPr>
            <w:noProof/>
            <w:webHidden/>
          </w:rPr>
          <w:fldChar w:fldCharType="end"/>
        </w:r>
      </w:hyperlink>
    </w:p>
    <w:p w14:paraId="6A701262" w14:textId="09394A3E" w:rsidR="004661F5" w:rsidRDefault="004661F5">
      <w:pPr>
        <w:pStyle w:val="TOC1"/>
        <w:rPr>
          <w:rFonts w:eastAsiaTheme="minorEastAsia" w:cstheme="minorBidi"/>
          <w:b w:val="0"/>
          <w:bCs w:val="0"/>
          <w:caps w:val="0"/>
          <w:noProof/>
          <w:sz w:val="24"/>
          <w:szCs w:val="24"/>
        </w:rPr>
      </w:pPr>
      <w:hyperlink w:anchor="_Toc193376349" w:history="1">
        <w:r w:rsidRPr="002C4A31">
          <w:rPr>
            <w:rStyle w:val="Hyperlink"/>
            <w:noProof/>
          </w:rPr>
          <w:t>2. Scope</w:t>
        </w:r>
        <w:r>
          <w:rPr>
            <w:noProof/>
            <w:webHidden/>
          </w:rPr>
          <w:tab/>
        </w:r>
        <w:r>
          <w:rPr>
            <w:noProof/>
            <w:webHidden/>
          </w:rPr>
          <w:fldChar w:fldCharType="begin"/>
        </w:r>
        <w:r>
          <w:rPr>
            <w:noProof/>
            <w:webHidden/>
          </w:rPr>
          <w:instrText xml:space="preserve"> PAGEREF _Toc193376349 \h </w:instrText>
        </w:r>
        <w:r>
          <w:rPr>
            <w:noProof/>
            <w:webHidden/>
          </w:rPr>
        </w:r>
        <w:r>
          <w:rPr>
            <w:noProof/>
            <w:webHidden/>
          </w:rPr>
          <w:fldChar w:fldCharType="separate"/>
        </w:r>
        <w:r>
          <w:rPr>
            <w:noProof/>
            <w:webHidden/>
          </w:rPr>
          <w:t>9</w:t>
        </w:r>
        <w:r>
          <w:rPr>
            <w:noProof/>
            <w:webHidden/>
          </w:rPr>
          <w:fldChar w:fldCharType="end"/>
        </w:r>
      </w:hyperlink>
    </w:p>
    <w:p w14:paraId="687E35FB" w14:textId="3AE5DA47" w:rsidR="004661F5" w:rsidRDefault="004661F5">
      <w:pPr>
        <w:pStyle w:val="TOC1"/>
        <w:rPr>
          <w:rFonts w:eastAsiaTheme="minorEastAsia" w:cstheme="minorBidi"/>
          <w:b w:val="0"/>
          <w:bCs w:val="0"/>
          <w:caps w:val="0"/>
          <w:noProof/>
          <w:sz w:val="24"/>
          <w:szCs w:val="24"/>
        </w:rPr>
      </w:pPr>
      <w:hyperlink w:anchor="_Toc193376350" w:history="1">
        <w:r w:rsidRPr="002C4A31">
          <w:rPr>
            <w:rStyle w:val="Hyperlink"/>
            <w:noProof/>
          </w:rPr>
          <w:t>3. Normative References</w:t>
        </w:r>
        <w:r>
          <w:rPr>
            <w:noProof/>
            <w:webHidden/>
          </w:rPr>
          <w:tab/>
        </w:r>
        <w:r>
          <w:rPr>
            <w:noProof/>
            <w:webHidden/>
          </w:rPr>
          <w:fldChar w:fldCharType="begin"/>
        </w:r>
        <w:r>
          <w:rPr>
            <w:noProof/>
            <w:webHidden/>
          </w:rPr>
          <w:instrText xml:space="preserve"> PAGEREF _Toc193376350 \h </w:instrText>
        </w:r>
        <w:r>
          <w:rPr>
            <w:noProof/>
            <w:webHidden/>
          </w:rPr>
        </w:r>
        <w:r>
          <w:rPr>
            <w:noProof/>
            <w:webHidden/>
          </w:rPr>
          <w:fldChar w:fldCharType="separate"/>
        </w:r>
        <w:r>
          <w:rPr>
            <w:noProof/>
            <w:webHidden/>
          </w:rPr>
          <w:t>11</w:t>
        </w:r>
        <w:r>
          <w:rPr>
            <w:noProof/>
            <w:webHidden/>
          </w:rPr>
          <w:fldChar w:fldCharType="end"/>
        </w:r>
      </w:hyperlink>
    </w:p>
    <w:p w14:paraId="4CE9CC1A" w14:textId="3BE444F1" w:rsidR="004661F5" w:rsidRDefault="004661F5">
      <w:pPr>
        <w:pStyle w:val="TOC2"/>
        <w:tabs>
          <w:tab w:val="right" w:leader="dot" w:pos="9350"/>
        </w:tabs>
        <w:rPr>
          <w:rFonts w:eastAsiaTheme="minorEastAsia" w:cstheme="minorBidi"/>
          <w:smallCaps w:val="0"/>
          <w:noProof/>
          <w:sz w:val="24"/>
          <w:szCs w:val="24"/>
        </w:rPr>
      </w:pPr>
      <w:hyperlink w:anchor="_Toc193376351" w:history="1">
        <w:r w:rsidRPr="002C4A31">
          <w:rPr>
            <w:rStyle w:val="Hyperlink"/>
            <w:noProof/>
          </w:rPr>
          <w:t>3.1 Convention 108+ Convention for the Protection of Individuals with Regard to the Processing of Personal Data</w:t>
        </w:r>
        <w:r>
          <w:rPr>
            <w:noProof/>
            <w:webHidden/>
          </w:rPr>
          <w:tab/>
        </w:r>
        <w:r>
          <w:rPr>
            <w:noProof/>
            <w:webHidden/>
          </w:rPr>
          <w:fldChar w:fldCharType="begin"/>
        </w:r>
        <w:r>
          <w:rPr>
            <w:noProof/>
            <w:webHidden/>
          </w:rPr>
          <w:instrText xml:space="preserve"> PAGEREF _Toc193376351 \h </w:instrText>
        </w:r>
        <w:r>
          <w:rPr>
            <w:noProof/>
            <w:webHidden/>
          </w:rPr>
        </w:r>
        <w:r>
          <w:rPr>
            <w:noProof/>
            <w:webHidden/>
          </w:rPr>
          <w:fldChar w:fldCharType="separate"/>
        </w:r>
        <w:r>
          <w:rPr>
            <w:noProof/>
            <w:webHidden/>
          </w:rPr>
          <w:t>11</w:t>
        </w:r>
        <w:r>
          <w:rPr>
            <w:noProof/>
            <w:webHidden/>
          </w:rPr>
          <w:fldChar w:fldCharType="end"/>
        </w:r>
      </w:hyperlink>
    </w:p>
    <w:p w14:paraId="4047ED31" w14:textId="1F49B4B8" w:rsidR="004661F5" w:rsidRDefault="004661F5">
      <w:pPr>
        <w:pStyle w:val="TOC2"/>
        <w:tabs>
          <w:tab w:val="right" w:leader="dot" w:pos="9350"/>
        </w:tabs>
        <w:rPr>
          <w:rFonts w:eastAsiaTheme="minorEastAsia" w:cstheme="minorBidi"/>
          <w:smallCaps w:val="0"/>
          <w:noProof/>
          <w:sz w:val="24"/>
          <w:szCs w:val="24"/>
        </w:rPr>
      </w:pPr>
      <w:hyperlink w:anchor="_Toc193376352" w:history="1">
        <w:r w:rsidRPr="002C4A31">
          <w:rPr>
            <w:rStyle w:val="Hyperlink"/>
            <w:noProof/>
          </w:rPr>
          <w:t>3.2 ISO/IEC 29100:2024 Security and Privacy Technique</w:t>
        </w:r>
        <w:r>
          <w:rPr>
            <w:noProof/>
            <w:webHidden/>
          </w:rPr>
          <w:tab/>
        </w:r>
        <w:r>
          <w:rPr>
            <w:noProof/>
            <w:webHidden/>
          </w:rPr>
          <w:fldChar w:fldCharType="begin"/>
        </w:r>
        <w:r>
          <w:rPr>
            <w:noProof/>
            <w:webHidden/>
          </w:rPr>
          <w:instrText xml:space="preserve"> PAGEREF _Toc193376352 \h </w:instrText>
        </w:r>
        <w:r>
          <w:rPr>
            <w:noProof/>
            <w:webHidden/>
          </w:rPr>
        </w:r>
        <w:r>
          <w:rPr>
            <w:noProof/>
            <w:webHidden/>
          </w:rPr>
          <w:fldChar w:fldCharType="separate"/>
        </w:r>
        <w:r>
          <w:rPr>
            <w:noProof/>
            <w:webHidden/>
          </w:rPr>
          <w:t>11</w:t>
        </w:r>
        <w:r>
          <w:rPr>
            <w:noProof/>
            <w:webHidden/>
          </w:rPr>
          <w:fldChar w:fldCharType="end"/>
        </w:r>
      </w:hyperlink>
    </w:p>
    <w:p w14:paraId="22635249" w14:textId="54AE47DD" w:rsidR="004661F5" w:rsidRDefault="004661F5">
      <w:pPr>
        <w:pStyle w:val="TOC2"/>
        <w:tabs>
          <w:tab w:val="right" w:leader="dot" w:pos="9350"/>
        </w:tabs>
        <w:rPr>
          <w:rFonts w:eastAsiaTheme="minorEastAsia" w:cstheme="minorBidi"/>
          <w:smallCaps w:val="0"/>
          <w:noProof/>
          <w:sz w:val="24"/>
          <w:szCs w:val="24"/>
        </w:rPr>
      </w:pPr>
      <w:hyperlink w:anchor="_Toc193376353" w:history="1">
        <w:r w:rsidRPr="002C4A31">
          <w:rPr>
            <w:rStyle w:val="Hyperlink"/>
            <w:noProof/>
          </w:rPr>
          <w:t>3.3 Kantara Initiative, Minimum Viable Consent Receipt, &amp; Consent Receipt Specification</w:t>
        </w:r>
        <w:r>
          <w:rPr>
            <w:noProof/>
            <w:webHidden/>
          </w:rPr>
          <w:tab/>
        </w:r>
        <w:r>
          <w:rPr>
            <w:noProof/>
            <w:webHidden/>
          </w:rPr>
          <w:fldChar w:fldCharType="begin"/>
        </w:r>
        <w:r>
          <w:rPr>
            <w:noProof/>
            <w:webHidden/>
          </w:rPr>
          <w:instrText xml:space="preserve"> PAGEREF _Toc193376353 \h </w:instrText>
        </w:r>
        <w:r>
          <w:rPr>
            <w:noProof/>
            <w:webHidden/>
          </w:rPr>
        </w:r>
        <w:r>
          <w:rPr>
            <w:noProof/>
            <w:webHidden/>
          </w:rPr>
          <w:fldChar w:fldCharType="separate"/>
        </w:r>
        <w:r>
          <w:rPr>
            <w:noProof/>
            <w:webHidden/>
          </w:rPr>
          <w:t>11</w:t>
        </w:r>
        <w:r>
          <w:rPr>
            <w:noProof/>
            <w:webHidden/>
          </w:rPr>
          <w:fldChar w:fldCharType="end"/>
        </w:r>
      </w:hyperlink>
    </w:p>
    <w:p w14:paraId="57587A0F" w14:textId="60153CEB" w:rsidR="004661F5" w:rsidRDefault="004661F5">
      <w:pPr>
        <w:pStyle w:val="TOC1"/>
        <w:rPr>
          <w:rFonts w:eastAsiaTheme="minorEastAsia" w:cstheme="minorBidi"/>
          <w:b w:val="0"/>
          <w:bCs w:val="0"/>
          <w:caps w:val="0"/>
          <w:noProof/>
          <w:sz w:val="24"/>
          <w:szCs w:val="24"/>
        </w:rPr>
      </w:pPr>
      <w:hyperlink w:anchor="_Toc193376354" w:history="1">
        <w:r w:rsidRPr="002C4A31">
          <w:rPr>
            <w:rStyle w:val="Hyperlink"/>
            <w:noProof/>
          </w:rPr>
          <w:t>4. Terms &amp; Definitions</w:t>
        </w:r>
        <w:r>
          <w:rPr>
            <w:noProof/>
            <w:webHidden/>
          </w:rPr>
          <w:tab/>
        </w:r>
        <w:r>
          <w:rPr>
            <w:noProof/>
            <w:webHidden/>
          </w:rPr>
          <w:fldChar w:fldCharType="begin"/>
        </w:r>
        <w:r>
          <w:rPr>
            <w:noProof/>
            <w:webHidden/>
          </w:rPr>
          <w:instrText xml:space="preserve"> PAGEREF _Toc193376354 \h </w:instrText>
        </w:r>
        <w:r>
          <w:rPr>
            <w:noProof/>
            <w:webHidden/>
          </w:rPr>
        </w:r>
        <w:r>
          <w:rPr>
            <w:noProof/>
            <w:webHidden/>
          </w:rPr>
          <w:fldChar w:fldCharType="separate"/>
        </w:r>
        <w:r>
          <w:rPr>
            <w:noProof/>
            <w:webHidden/>
          </w:rPr>
          <w:t>12</w:t>
        </w:r>
        <w:r>
          <w:rPr>
            <w:noProof/>
            <w:webHidden/>
          </w:rPr>
          <w:fldChar w:fldCharType="end"/>
        </w:r>
      </w:hyperlink>
    </w:p>
    <w:p w14:paraId="784F6C7C" w14:textId="302E10DA" w:rsidR="004661F5" w:rsidRDefault="004661F5">
      <w:pPr>
        <w:pStyle w:val="TOC1"/>
        <w:rPr>
          <w:rFonts w:eastAsiaTheme="minorEastAsia" w:cstheme="minorBidi"/>
          <w:b w:val="0"/>
          <w:bCs w:val="0"/>
          <w:caps w:val="0"/>
          <w:noProof/>
          <w:sz w:val="24"/>
          <w:szCs w:val="24"/>
        </w:rPr>
      </w:pPr>
      <w:hyperlink w:anchor="_Toc193376355" w:history="1">
        <w:r w:rsidRPr="002C4A31">
          <w:rPr>
            <w:rStyle w:val="Hyperlink"/>
            <w:noProof/>
          </w:rPr>
          <w:t>5. Methodology</w:t>
        </w:r>
        <w:r>
          <w:rPr>
            <w:noProof/>
            <w:webHidden/>
          </w:rPr>
          <w:tab/>
        </w:r>
        <w:r>
          <w:rPr>
            <w:noProof/>
            <w:webHidden/>
          </w:rPr>
          <w:fldChar w:fldCharType="begin"/>
        </w:r>
        <w:r>
          <w:rPr>
            <w:noProof/>
            <w:webHidden/>
          </w:rPr>
          <w:instrText xml:space="preserve"> PAGEREF _Toc193376355 \h </w:instrText>
        </w:r>
        <w:r>
          <w:rPr>
            <w:noProof/>
            <w:webHidden/>
          </w:rPr>
        </w:r>
        <w:r>
          <w:rPr>
            <w:noProof/>
            <w:webHidden/>
          </w:rPr>
          <w:fldChar w:fldCharType="separate"/>
        </w:r>
        <w:r>
          <w:rPr>
            <w:noProof/>
            <w:webHidden/>
          </w:rPr>
          <w:t>13</w:t>
        </w:r>
        <w:r>
          <w:rPr>
            <w:noProof/>
            <w:webHidden/>
          </w:rPr>
          <w:fldChar w:fldCharType="end"/>
        </w:r>
      </w:hyperlink>
    </w:p>
    <w:p w14:paraId="1A01C57D" w14:textId="619489C8" w:rsidR="004661F5" w:rsidRDefault="004661F5">
      <w:pPr>
        <w:pStyle w:val="TOC2"/>
        <w:tabs>
          <w:tab w:val="right" w:leader="dot" w:pos="9350"/>
        </w:tabs>
        <w:rPr>
          <w:rFonts w:eastAsiaTheme="minorEastAsia" w:cstheme="minorBidi"/>
          <w:smallCaps w:val="0"/>
          <w:noProof/>
          <w:sz w:val="24"/>
          <w:szCs w:val="24"/>
        </w:rPr>
      </w:pPr>
      <w:hyperlink w:anchor="_Toc193376356" w:history="1">
        <w:r w:rsidRPr="002C4A31">
          <w:rPr>
            <w:rStyle w:val="Hyperlink"/>
            <w:noProof/>
          </w:rPr>
          <w:t xml:space="preserve">5.1 Transparency </w:t>
        </w:r>
        <w:r w:rsidRPr="002C4A31">
          <w:rPr>
            <w:rStyle w:val="Hyperlink"/>
            <w:noProof/>
          </w:rPr>
          <w:t>P</w:t>
        </w:r>
        <w:r w:rsidRPr="002C4A31">
          <w:rPr>
            <w:rStyle w:val="Hyperlink"/>
            <w:noProof/>
          </w:rPr>
          <w:t>erformance Indicators (TPIs)</w:t>
        </w:r>
        <w:r>
          <w:rPr>
            <w:noProof/>
            <w:webHidden/>
          </w:rPr>
          <w:tab/>
        </w:r>
        <w:r>
          <w:rPr>
            <w:noProof/>
            <w:webHidden/>
          </w:rPr>
          <w:fldChar w:fldCharType="begin"/>
        </w:r>
        <w:r>
          <w:rPr>
            <w:noProof/>
            <w:webHidden/>
          </w:rPr>
          <w:instrText xml:space="preserve"> PAGEREF _Toc193376356 \h </w:instrText>
        </w:r>
        <w:r>
          <w:rPr>
            <w:noProof/>
            <w:webHidden/>
          </w:rPr>
        </w:r>
        <w:r>
          <w:rPr>
            <w:noProof/>
            <w:webHidden/>
          </w:rPr>
          <w:fldChar w:fldCharType="separate"/>
        </w:r>
        <w:r>
          <w:rPr>
            <w:noProof/>
            <w:webHidden/>
          </w:rPr>
          <w:t>13</w:t>
        </w:r>
        <w:r>
          <w:rPr>
            <w:noProof/>
            <w:webHidden/>
          </w:rPr>
          <w:fldChar w:fldCharType="end"/>
        </w:r>
      </w:hyperlink>
    </w:p>
    <w:p w14:paraId="51020A3A" w14:textId="4053F881" w:rsidR="004661F5" w:rsidRDefault="004661F5">
      <w:pPr>
        <w:pStyle w:val="TOC2"/>
        <w:tabs>
          <w:tab w:val="right" w:leader="dot" w:pos="9350"/>
        </w:tabs>
        <w:rPr>
          <w:rFonts w:eastAsiaTheme="minorEastAsia" w:cstheme="minorBidi"/>
          <w:smallCaps w:val="0"/>
          <w:noProof/>
          <w:sz w:val="24"/>
          <w:szCs w:val="24"/>
        </w:rPr>
      </w:pPr>
      <w:hyperlink w:anchor="_Toc193376357" w:history="1">
        <w:r w:rsidRPr="002C4A31">
          <w:rPr>
            <w:rStyle w:val="Hyperlink"/>
            <w:noProof/>
          </w:rPr>
          <w:t>5.2 Considerations</w:t>
        </w:r>
        <w:r>
          <w:rPr>
            <w:noProof/>
            <w:webHidden/>
          </w:rPr>
          <w:tab/>
        </w:r>
        <w:r>
          <w:rPr>
            <w:noProof/>
            <w:webHidden/>
          </w:rPr>
          <w:fldChar w:fldCharType="begin"/>
        </w:r>
        <w:r>
          <w:rPr>
            <w:noProof/>
            <w:webHidden/>
          </w:rPr>
          <w:instrText xml:space="preserve"> PAGEREF _Toc193376357 \h </w:instrText>
        </w:r>
        <w:r>
          <w:rPr>
            <w:noProof/>
            <w:webHidden/>
          </w:rPr>
        </w:r>
        <w:r>
          <w:rPr>
            <w:noProof/>
            <w:webHidden/>
          </w:rPr>
          <w:fldChar w:fldCharType="separate"/>
        </w:r>
        <w:r>
          <w:rPr>
            <w:noProof/>
            <w:webHidden/>
          </w:rPr>
          <w:t>15</w:t>
        </w:r>
        <w:r>
          <w:rPr>
            <w:noProof/>
            <w:webHidden/>
          </w:rPr>
          <w:fldChar w:fldCharType="end"/>
        </w:r>
      </w:hyperlink>
    </w:p>
    <w:p w14:paraId="564F274A" w14:textId="2FB00813" w:rsidR="004661F5" w:rsidRDefault="004661F5">
      <w:pPr>
        <w:pStyle w:val="TOC1"/>
        <w:rPr>
          <w:rFonts w:eastAsiaTheme="minorEastAsia" w:cstheme="minorBidi"/>
          <w:b w:val="0"/>
          <w:bCs w:val="0"/>
          <w:caps w:val="0"/>
          <w:noProof/>
          <w:sz w:val="24"/>
          <w:szCs w:val="24"/>
        </w:rPr>
      </w:pPr>
      <w:hyperlink w:anchor="_Toc193376358" w:history="1">
        <w:r w:rsidRPr="002C4A31">
          <w:rPr>
            <w:rStyle w:val="Hyperlink"/>
            <w:noProof/>
          </w:rPr>
          <w:t>6. Transparency Performance Indicator Metrics, Analysis,</w:t>
        </w:r>
        <w:r>
          <w:rPr>
            <w:noProof/>
            <w:webHidden/>
          </w:rPr>
          <w:tab/>
        </w:r>
        <w:r>
          <w:rPr>
            <w:noProof/>
            <w:webHidden/>
          </w:rPr>
          <w:fldChar w:fldCharType="begin"/>
        </w:r>
        <w:r>
          <w:rPr>
            <w:noProof/>
            <w:webHidden/>
          </w:rPr>
          <w:instrText xml:space="preserve"> PAGEREF _Toc193376358 \h </w:instrText>
        </w:r>
        <w:r>
          <w:rPr>
            <w:noProof/>
            <w:webHidden/>
          </w:rPr>
        </w:r>
        <w:r>
          <w:rPr>
            <w:noProof/>
            <w:webHidden/>
          </w:rPr>
          <w:fldChar w:fldCharType="separate"/>
        </w:r>
        <w:r>
          <w:rPr>
            <w:noProof/>
            <w:webHidden/>
          </w:rPr>
          <w:t>16</w:t>
        </w:r>
        <w:r>
          <w:rPr>
            <w:noProof/>
            <w:webHidden/>
          </w:rPr>
          <w:fldChar w:fldCharType="end"/>
        </w:r>
      </w:hyperlink>
    </w:p>
    <w:p w14:paraId="35A32204" w14:textId="6E9F0FCE" w:rsidR="004661F5" w:rsidRDefault="004661F5">
      <w:pPr>
        <w:pStyle w:val="TOC2"/>
        <w:tabs>
          <w:tab w:val="right" w:leader="dot" w:pos="9350"/>
        </w:tabs>
        <w:rPr>
          <w:rFonts w:eastAsiaTheme="minorEastAsia" w:cstheme="minorBidi"/>
          <w:smallCaps w:val="0"/>
          <w:noProof/>
          <w:sz w:val="24"/>
          <w:szCs w:val="24"/>
        </w:rPr>
      </w:pPr>
      <w:hyperlink w:anchor="_Toc193376359" w:history="1">
        <w:r w:rsidRPr="002C4A31">
          <w:rPr>
            <w:rStyle w:val="Hyperlink"/>
            <w:noProof/>
          </w:rPr>
          <w:t>6.1 TPI 1 – Measuring the Time of Controller Identification</w:t>
        </w:r>
        <w:r>
          <w:rPr>
            <w:noProof/>
            <w:webHidden/>
          </w:rPr>
          <w:tab/>
        </w:r>
        <w:r>
          <w:rPr>
            <w:noProof/>
            <w:webHidden/>
          </w:rPr>
          <w:fldChar w:fldCharType="begin"/>
        </w:r>
        <w:r>
          <w:rPr>
            <w:noProof/>
            <w:webHidden/>
          </w:rPr>
          <w:instrText xml:space="preserve"> PAGEREF _Toc193376359 \h </w:instrText>
        </w:r>
        <w:r>
          <w:rPr>
            <w:noProof/>
            <w:webHidden/>
          </w:rPr>
        </w:r>
        <w:r>
          <w:rPr>
            <w:noProof/>
            <w:webHidden/>
          </w:rPr>
          <w:fldChar w:fldCharType="separate"/>
        </w:r>
        <w:r>
          <w:rPr>
            <w:noProof/>
            <w:webHidden/>
          </w:rPr>
          <w:t>16</w:t>
        </w:r>
        <w:r>
          <w:rPr>
            <w:noProof/>
            <w:webHidden/>
          </w:rPr>
          <w:fldChar w:fldCharType="end"/>
        </w:r>
      </w:hyperlink>
    </w:p>
    <w:p w14:paraId="4E5CCF04" w14:textId="0960285F" w:rsidR="004661F5" w:rsidRDefault="004661F5">
      <w:pPr>
        <w:pStyle w:val="TOC2"/>
        <w:tabs>
          <w:tab w:val="right" w:leader="dot" w:pos="9350"/>
        </w:tabs>
        <w:rPr>
          <w:rFonts w:eastAsiaTheme="minorEastAsia" w:cstheme="minorBidi"/>
          <w:smallCaps w:val="0"/>
          <w:noProof/>
          <w:sz w:val="24"/>
          <w:szCs w:val="24"/>
        </w:rPr>
      </w:pPr>
      <w:hyperlink w:anchor="_Toc193376360" w:history="1">
        <w:r w:rsidRPr="002C4A31">
          <w:rPr>
            <w:rStyle w:val="Hyperlink"/>
            <w:noProof/>
          </w:rPr>
          <w:t>6.2 TPI 2 – Controller Identification Record Elements</w:t>
        </w:r>
        <w:r>
          <w:rPr>
            <w:noProof/>
            <w:webHidden/>
          </w:rPr>
          <w:tab/>
        </w:r>
        <w:r>
          <w:rPr>
            <w:noProof/>
            <w:webHidden/>
          </w:rPr>
          <w:fldChar w:fldCharType="begin"/>
        </w:r>
        <w:r>
          <w:rPr>
            <w:noProof/>
            <w:webHidden/>
          </w:rPr>
          <w:instrText xml:space="preserve"> PAGEREF _Toc193376360 \h </w:instrText>
        </w:r>
        <w:r>
          <w:rPr>
            <w:noProof/>
            <w:webHidden/>
          </w:rPr>
        </w:r>
        <w:r>
          <w:rPr>
            <w:noProof/>
            <w:webHidden/>
          </w:rPr>
          <w:fldChar w:fldCharType="separate"/>
        </w:r>
        <w:r>
          <w:rPr>
            <w:noProof/>
            <w:webHidden/>
          </w:rPr>
          <w:t>19</w:t>
        </w:r>
        <w:r>
          <w:rPr>
            <w:noProof/>
            <w:webHidden/>
          </w:rPr>
          <w:fldChar w:fldCharType="end"/>
        </w:r>
      </w:hyperlink>
    </w:p>
    <w:p w14:paraId="597EA4F1" w14:textId="6573B565" w:rsidR="004661F5" w:rsidRDefault="004661F5">
      <w:pPr>
        <w:pStyle w:val="TOC2"/>
        <w:tabs>
          <w:tab w:val="right" w:leader="dot" w:pos="9350"/>
        </w:tabs>
        <w:rPr>
          <w:rFonts w:eastAsiaTheme="minorEastAsia" w:cstheme="minorBidi"/>
          <w:smallCaps w:val="0"/>
          <w:noProof/>
          <w:sz w:val="24"/>
          <w:szCs w:val="24"/>
        </w:rPr>
      </w:pPr>
      <w:hyperlink w:anchor="_Toc193376361" w:history="1">
        <w:r w:rsidRPr="002C4A31">
          <w:rPr>
            <w:rStyle w:val="Hyperlink"/>
            <w:noProof/>
          </w:rPr>
          <w:t>6.3 TPI 3 – Security and Privacy Access</w:t>
        </w:r>
        <w:r>
          <w:rPr>
            <w:noProof/>
            <w:webHidden/>
          </w:rPr>
          <w:tab/>
        </w:r>
        <w:r>
          <w:rPr>
            <w:noProof/>
            <w:webHidden/>
          </w:rPr>
          <w:fldChar w:fldCharType="begin"/>
        </w:r>
        <w:r>
          <w:rPr>
            <w:noProof/>
            <w:webHidden/>
          </w:rPr>
          <w:instrText xml:space="preserve"> PAGEREF _Toc193376361 \h </w:instrText>
        </w:r>
        <w:r>
          <w:rPr>
            <w:noProof/>
            <w:webHidden/>
          </w:rPr>
        </w:r>
        <w:r>
          <w:rPr>
            <w:noProof/>
            <w:webHidden/>
          </w:rPr>
          <w:fldChar w:fldCharType="separate"/>
        </w:r>
        <w:r>
          <w:rPr>
            <w:noProof/>
            <w:webHidden/>
          </w:rPr>
          <w:t>22</w:t>
        </w:r>
        <w:r>
          <w:rPr>
            <w:noProof/>
            <w:webHidden/>
          </w:rPr>
          <w:fldChar w:fldCharType="end"/>
        </w:r>
      </w:hyperlink>
    </w:p>
    <w:p w14:paraId="6A8A9F3E" w14:textId="41C278FD" w:rsidR="004661F5" w:rsidRDefault="004661F5">
      <w:pPr>
        <w:pStyle w:val="TOC2"/>
        <w:tabs>
          <w:tab w:val="right" w:leader="dot" w:pos="9350"/>
        </w:tabs>
        <w:rPr>
          <w:rFonts w:eastAsiaTheme="minorEastAsia" w:cstheme="minorBidi"/>
          <w:smallCaps w:val="0"/>
          <w:noProof/>
          <w:sz w:val="24"/>
          <w:szCs w:val="24"/>
        </w:rPr>
      </w:pPr>
      <w:hyperlink w:anchor="_Toc193376362" w:history="1">
        <w:r w:rsidRPr="002C4A31">
          <w:rPr>
            <w:rStyle w:val="Hyperlink"/>
            <w:noProof/>
          </w:rPr>
          <w:t>6.4 TPI 4 – A measure of security information integrity</w:t>
        </w:r>
        <w:r>
          <w:rPr>
            <w:noProof/>
            <w:webHidden/>
          </w:rPr>
          <w:tab/>
        </w:r>
        <w:r>
          <w:rPr>
            <w:noProof/>
            <w:webHidden/>
          </w:rPr>
          <w:fldChar w:fldCharType="begin"/>
        </w:r>
        <w:r>
          <w:rPr>
            <w:noProof/>
            <w:webHidden/>
          </w:rPr>
          <w:instrText xml:space="preserve"> PAGEREF _Toc193376362 \h </w:instrText>
        </w:r>
        <w:r>
          <w:rPr>
            <w:noProof/>
            <w:webHidden/>
          </w:rPr>
        </w:r>
        <w:r>
          <w:rPr>
            <w:noProof/>
            <w:webHidden/>
          </w:rPr>
          <w:fldChar w:fldCharType="separate"/>
        </w:r>
        <w:r>
          <w:rPr>
            <w:noProof/>
            <w:webHidden/>
          </w:rPr>
          <w:t>25</w:t>
        </w:r>
        <w:r>
          <w:rPr>
            <w:noProof/>
            <w:webHidden/>
          </w:rPr>
          <w:fldChar w:fldCharType="end"/>
        </w:r>
      </w:hyperlink>
    </w:p>
    <w:p w14:paraId="630C0ABA" w14:textId="7E73F736" w:rsidR="004661F5" w:rsidRDefault="004661F5">
      <w:pPr>
        <w:pStyle w:val="TOC1"/>
        <w:rPr>
          <w:rFonts w:eastAsiaTheme="minorEastAsia" w:cstheme="minorBidi"/>
          <w:b w:val="0"/>
          <w:bCs w:val="0"/>
          <w:caps w:val="0"/>
          <w:noProof/>
          <w:sz w:val="24"/>
          <w:szCs w:val="24"/>
        </w:rPr>
      </w:pPr>
      <w:hyperlink w:anchor="_Toc193376363" w:history="1">
        <w:r w:rsidRPr="002C4A31">
          <w:rPr>
            <w:rStyle w:val="Hyperlink"/>
            <w:noProof/>
          </w:rPr>
          <w:t>7. Summary</w:t>
        </w:r>
        <w:r>
          <w:rPr>
            <w:noProof/>
            <w:webHidden/>
          </w:rPr>
          <w:tab/>
        </w:r>
        <w:r>
          <w:rPr>
            <w:noProof/>
            <w:webHidden/>
          </w:rPr>
          <w:fldChar w:fldCharType="begin"/>
        </w:r>
        <w:r>
          <w:rPr>
            <w:noProof/>
            <w:webHidden/>
          </w:rPr>
          <w:instrText xml:space="preserve"> PAGEREF _Toc193376363 \h </w:instrText>
        </w:r>
        <w:r>
          <w:rPr>
            <w:noProof/>
            <w:webHidden/>
          </w:rPr>
        </w:r>
        <w:r>
          <w:rPr>
            <w:noProof/>
            <w:webHidden/>
          </w:rPr>
          <w:fldChar w:fldCharType="separate"/>
        </w:r>
        <w:r>
          <w:rPr>
            <w:noProof/>
            <w:webHidden/>
          </w:rPr>
          <w:t>29</w:t>
        </w:r>
        <w:r>
          <w:rPr>
            <w:noProof/>
            <w:webHidden/>
          </w:rPr>
          <w:fldChar w:fldCharType="end"/>
        </w:r>
      </w:hyperlink>
    </w:p>
    <w:p w14:paraId="60046F6A" w14:textId="0452EBB0" w:rsidR="004661F5" w:rsidRDefault="004661F5">
      <w:pPr>
        <w:pStyle w:val="TOC1"/>
        <w:rPr>
          <w:rFonts w:eastAsiaTheme="minorEastAsia" w:cstheme="minorBidi"/>
          <w:b w:val="0"/>
          <w:bCs w:val="0"/>
          <w:caps w:val="0"/>
          <w:noProof/>
          <w:sz w:val="24"/>
          <w:szCs w:val="24"/>
        </w:rPr>
      </w:pPr>
      <w:hyperlink w:anchor="_Toc193376364" w:history="1">
        <w:r w:rsidRPr="002C4A31">
          <w:rPr>
            <w:rStyle w:val="Hyperlink"/>
            <w:noProof/>
          </w:rPr>
          <w:t>8. Appendix A: PII Controller Identification Record</w:t>
        </w:r>
        <w:r>
          <w:rPr>
            <w:noProof/>
            <w:webHidden/>
          </w:rPr>
          <w:tab/>
        </w:r>
        <w:r>
          <w:rPr>
            <w:noProof/>
            <w:webHidden/>
          </w:rPr>
          <w:fldChar w:fldCharType="begin"/>
        </w:r>
        <w:r>
          <w:rPr>
            <w:noProof/>
            <w:webHidden/>
          </w:rPr>
          <w:instrText xml:space="preserve"> PAGEREF _Toc193376364 \h </w:instrText>
        </w:r>
        <w:r>
          <w:rPr>
            <w:noProof/>
            <w:webHidden/>
          </w:rPr>
        </w:r>
        <w:r>
          <w:rPr>
            <w:noProof/>
            <w:webHidden/>
          </w:rPr>
          <w:fldChar w:fldCharType="separate"/>
        </w:r>
        <w:r>
          <w:rPr>
            <w:noProof/>
            <w:webHidden/>
          </w:rPr>
          <w:t>30</w:t>
        </w:r>
        <w:r>
          <w:rPr>
            <w:noProof/>
            <w:webHidden/>
          </w:rPr>
          <w:fldChar w:fldCharType="end"/>
        </w:r>
      </w:hyperlink>
    </w:p>
    <w:p w14:paraId="25331A4A" w14:textId="67D8C4AA" w:rsidR="004661F5" w:rsidRDefault="004661F5">
      <w:pPr>
        <w:pStyle w:val="TOC1"/>
        <w:rPr>
          <w:rFonts w:eastAsiaTheme="minorEastAsia" w:cstheme="minorBidi"/>
          <w:b w:val="0"/>
          <w:bCs w:val="0"/>
          <w:caps w:val="0"/>
          <w:noProof/>
          <w:sz w:val="24"/>
          <w:szCs w:val="24"/>
        </w:rPr>
      </w:pPr>
      <w:hyperlink w:anchor="_Toc193376365" w:history="1">
        <w:r w:rsidRPr="002C4A31">
          <w:rPr>
            <w:rStyle w:val="Hyperlink"/>
            <w:noProof/>
          </w:rPr>
          <w:t>9. Appendix B: Role Mapping Across Privacy and Security Instruments</w:t>
        </w:r>
        <w:r>
          <w:rPr>
            <w:noProof/>
            <w:webHidden/>
          </w:rPr>
          <w:tab/>
        </w:r>
        <w:r>
          <w:rPr>
            <w:noProof/>
            <w:webHidden/>
          </w:rPr>
          <w:fldChar w:fldCharType="begin"/>
        </w:r>
        <w:r>
          <w:rPr>
            <w:noProof/>
            <w:webHidden/>
          </w:rPr>
          <w:instrText xml:space="preserve"> PAGEREF _Toc193376365 \h </w:instrText>
        </w:r>
        <w:r>
          <w:rPr>
            <w:noProof/>
            <w:webHidden/>
          </w:rPr>
        </w:r>
        <w:r>
          <w:rPr>
            <w:noProof/>
            <w:webHidden/>
          </w:rPr>
          <w:fldChar w:fldCharType="separate"/>
        </w:r>
        <w:r>
          <w:rPr>
            <w:noProof/>
            <w:webHidden/>
          </w:rPr>
          <w:t>33</w:t>
        </w:r>
        <w:r>
          <w:rPr>
            <w:noProof/>
            <w:webHidden/>
          </w:rPr>
          <w:fldChar w:fldCharType="end"/>
        </w:r>
      </w:hyperlink>
    </w:p>
    <w:p w14:paraId="34844820" w14:textId="6C097EC6" w:rsidR="004661F5" w:rsidRDefault="004661F5">
      <w:pPr>
        <w:pStyle w:val="TOC1"/>
        <w:rPr>
          <w:rFonts w:eastAsiaTheme="minorEastAsia" w:cstheme="minorBidi"/>
          <w:b w:val="0"/>
          <w:bCs w:val="0"/>
          <w:caps w:val="0"/>
          <w:noProof/>
          <w:sz w:val="24"/>
          <w:szCs w:val="24"/>
        </w:rPr>
      </w:pPr>
      <w:hyperlink w:anchor="_Toc193376366" w:history="1">
        <w:r w:rsidRPr="002C4A31">
          <w:rPr>
            <w:rStyle w:val="Hyperlink"/>
            <w:noProof/>
          </w:rPr>
          <w:t>10. ISO/IEC 29100 Terminology Bibliography</w:t>
        </w:r>
        <w:r>
          <w:rPr>
            <w:noProof/>
            <w:webHidden/>
          </w:rPr>
          <w:tab/>
        </w:r>
        <w:r>
          <w:rPr>
            <w:noProof/>
            <w:webHidden/>
          </w:rPr>
          <w:fldChar w:fldCharType="begin"/>
        </w:r>
        <w:r>
          <w:rPr>
            <w:noProof/>
            <w:webHidden/>
          </w:rPr>
          <w:instrText xml:space="preserve"> PAGEREF _Toc193376366 \h </w:instrText>
        </w:r>
        <w:r>
          <w:rPr>
            <w:noProof/>
            <w:webHidden/>
          </w:rPr>
        </w:r>
        <w:r>
          <w:rPr>
            <w:noProof/>
            <w:webHidden/>
          </w:rPr>
          <w:fldChar w:fldCharType="separate"/>
        </w:r>
        <w:r>
          <w:rPr>
            <w:noProof/>
            <w:webHidden/>
          </w:rPr>
          <w:t>35</w:t>
        </w:r>
        <w:r>
          <w:rPr>
            <w:noProof/>
            <w:webHidden/>
          </w:rPr>
          <w:fldChar w:fldCharType="end"/>
        </w:r>
      </w:hyperlink>
    </w:p>
    <w:p w14:paraId="2069B3A2" w14:textId="51CFB2CA" w:rsidR="003853C5" w:rsidRDefault="001E5347" w:rsidP="003853C5">
      <w:pPr>
        <w:rPr>
          <w:rFonts w:cs="Arial"/>
          <w:b/>
          <w:bCs/>
          <w:szCs w:val="22"/>
        </w:rPr>
      </w:pPr>
      <w:r w:rsidRPr="008F1888">
        <w:rPr>
          <w:rFonts w:cs="Arial"/>
          <w:b/>
          <w:bCs/>
          <w:szCs w:val="22"/>
        </w:rPr>
        <w:fldChar w:fldCharType="end"/>
      </w:r>
    </w:p>
    <w:p w14:paraId="01637BAE" w14:textId="77777777" w:rsidR="003853C5" w:rsidRDefault="003853C5" w:rsidP="003853C5">
      <w:pPr>
        <w:rPr>
          <w:rFonts w:cs="Arial"/>
          <w:b/>
          <w:bCs/>
          <w:szCs w:val="22"/>
        </w:rPr>
      </w:pPr>
    </w:p>
    <w:p w14:paraId="04B47355" w14:textId="77777777" w:rsidR="003853C5" w:rsidRDefault="003853C5" w:rsidP="003853C5">
      <w:pPr>
        <w:rPr>
          <w:rFonts w:cs="Arial"/>
          <w:b/>
          <w:bCs/>
          <w:szCs w:val="22"/>
        </w:rPr>
      </w:pPr>
    </w:p>
    <w:p w14:paraId="59D88131" w14:textId="77777777" w:rsidR="007B44F0" w:rsidRDefault="007B44F0">
      <w:pPr>
        <w:spacing w:line="240" w:lineRule="auto"/>
      </w:pPr>
      <w:r>
        <w:br w:type="page"/>
      </w:r>
    </w:p>
    <w:p w14:paraId="144E169D" w14:textId="77777777" w:rsidR="007B44F0" w:rsidRPr="007B44F0" w:rsidRDefault="007B44F0" w:rsidP="00265575">
      <w:pPr>
        <w:rPr>
          <w:b/>
          <w:bCs/>
        </w:rPr>
      </w:pPr>
      <w:r w:rsidRPr="007B44F0">
        <w:rPr>
          <w:b/>
          <w:bCs/>
        </w:rPr>
        <w:lastRenderedPageBreak/>
        <w:t>Figures and Tables</w:t>
      </w:r>
    </w:p>
    <w:p w14:paraId="5812513C" w14:textId="18F7A96B" w:rsidR="004661F5" w:rsidRDefault="007B44F0">
      <w:pPr>
        <w:pStyle w:val="TableofFigures"/>
        <w:tabs>
          <w:tab w:val="right" w:leader="dot" w:pos="9350"/>
        </w:tabs>
        <w:rPr>
          <w:rFonts w:asciiTheme="minorHAnsi" w:eastAsiaTheme="minorEastAsia" w:hAnsiTheme="minorHAnsi"/>
          <w:noProof/>
          <w:sz w:val="24"/>
        </w:rPr>
      </w:pPr>
      <w:r>
        <w:fldChar w:fldCharType="begin"/>
      </w:r>
      <w:r>
        <w:instrText xml:space="preserve"> TOC \h \z \c "Figure" </w:instrText>
      </w:r>
      <w:r>
        <w:fldChar w:fldCharType="separate"/>
      </w:r>
      <w:hyperlink w:anchor="_Toc193376367" w:history="1">
        <w:r w:rsidR="004661F5" w:rsidRPr="00A5049A">
          <w:rPr>
            <w:rStyle w:val="Hyperlink"/>
            <w:noProof/>
          </w:rPr>
          <w:t>Figure 1. Transparency Reporting Workflow and Transparency Performance Indicators</w:t>
        </w:r>
        <w:r w:rsidR="004661F5">
          <w:rPr>
            <w:noProof/>
            <w:webHidden/>
          </w:rPr>
          <w:tab/>
        </w:r>
        <w:r w:rsidR="004661F5">
          <w:rPr>
            <w:noProof/>
            <w:webHidden/>
          </w:rPr>
          <w:fldChar w:fldCharType="begin"/>
        </w:r>
        <w:r w:rsidR="004661F5">
          <w:rPr>
            <w:noProof/>
            <w:webHidden/>
          </w:rPr>
          <w:instrText xml:space="preserve"> PAGEREF _Toc193376367 \h </w:instrText>
        </w:r>
        <w:r w:rsidR="004661F5">
          <w:rPr>
            <w:noProof/>
            <w:webHidden/>
          </w:rPr>
        </w:r>
        <w:r w:rsidR="004661F5">
          <w:rPr>
            <w:noProof/>
            <w:webHidden/>
          </w:rPr>
          <w:fldChar w:fldCharType="separate"/>
        </w:r>
        <w:r w:rsidR="004661F5">
          <w:rPr>
            <w:noProof/>
            <w:webHidden/>
          </w:rPr>
          <w:t>14</w:t>
        </w:r>
        <w:r w:rsidR="004661F5">
          <w:rPr>
            <w:noProof/>
            <w:webHidden/>
          </w:rPr>
          <w:fldChar w:fldCharType="end"/>
        </w:r>
      </w:hyperlink>
    </w:p>
    <w:p w14:paraId="53CE4046" w14:textId="51C3568B" w:rsidR="00265575" w:rsidRDefault="007B44F0" w:rsidP="00265575">
      <w:r>
        <w:fldChar w:fldCharType="end"/>
      </w:r>
      <w:r>
        <w:t xml:space="preserve"> </w:t>
      </w:r>
    </w:p>
    <w:p w14:paraId="2E250884" w14:textId="11526E0D" w:rsidR="004661F5" w:rsidRDefault="008A609C">
      <w:pPr>
        <w:pStyle w:val="TableofFigures"/>
        <w:tabs>
          <w:tab w:val="right" w:leader="dot" w:pos="9350"/>
        </w:tabs>
        <w:rPr>
          <w:rFonts w:asciiTheme="minorHAnsi" w:eastAsiaTheme="minorEastAsia" w:hAnsiTheme="minorHAnsi"/>
          <w:noProof/>
          <w:sz w:val="24"/>
        </w:rPr>
      </w:pPr>
      <w:r>
        <w:fldChar w:fldCharType="begin"/>
      </w:r>
      <w:r>
        <w:instrText xml:space="preserve"> TOC \h \z \c "Table" </w:instrText>
      </w:r>
      <w:r>
        <w:fldChar w:fldCharType="separate"/>
      </w:r>
      <w:hyperlink w:anchor="_Toc193376368" w:history="1">
        <w:r w:rsidR="004661F5" w:rsidRPr="00485D1A">
          <w:rPr>
            <w:rStyle w:val="Hyperlink"/>
            <w:noProof/>
          </w:rPr>
          <w:t>Table 1. TPI 1 Measurement and Description</w:t>
        </w:r>
        <w:r w:rsidR="004661F5">
          <w:rPr>
            <w:noProof/>
            <w:webHidden/>
          </w:rPr>
          <w:tab/>
        </w:r>
        <w:r w:rsidR="004661F5">
          <w:rPr>
            <w:noProof/>
            <w:webHidden/>
          </w:rPr>
          <w:fldChar w:fldCharType="begin"/>
        </w:r>
        <w:r w:rsidR="004661F5">
          <w:rPr>
            <w:noProof/>
            <w:webHidden/>
          </w:rPr>
          <w:instrText xml:space="preserve"> PAGEREF _Toc193376368 \h </w:instrText>
        </w:r>
        <w:r w:rsidR="004661F5">
          <w:rPr>
            <w:noProof/>
            <w:webHidden/>
          </w:rPr>
        </w:r>
        <w:r w:rsidR="004661F5">
          <w:rPr>
            <w:noProof/>
            <w:webHidden/>
          </w:rPr>
          <w:fldChar w:fldCharType="separate"/>
        </w:r>
        <w:r w:rsidR="004661F5">
          <w:rPr>
            <w:noProof/>
            <w:webHidden/>
          </w:rPr>
          <w:t>16</w:t>
        </w:r>
        <w:r w:rsidR="004661F5">
          <w:rPr>
            <w:noProof/>
            <w:webHidden/>
          </w:rPr>
          <w:fldChar w:fldCharType="end"/>
        </w:r>
      </w:hyperlink>
    </w:p>
    <w:p w14:paraId="5DC472B6" w14:textId="38AA0798" w:rsidR="004661F5" w:rsidRDefault="004661F5">
      <w:pPr>
        <w:pStyle w:val="TableofFigures"/>
        <w:tabs>
          <w:tab w:val="right" w:leader="dot" w:pos="9350"/>
        </w:tabs>
        <w:rPr>
          <w:rFonts w:asciiTheme="minorHAnsi" w:eastAsiaTheme="minorEastAsia" w:hAnsiTheme="minorHAnsi"/>
          <w:noProof/>
          <w:sz w:val="24"/>
        </w:rPr>
      </w:pPr>
      <w:hyperlink w:anchor="_Toc193376369" w:history="1">
        <w:r w:rsidRPr="00485D1A">
          <w:rPr>
            <w:rStyle w:val="Hyperlink"/>
            <w:noProof/>
          </w:rPr>
          <w:t>Table 2. TPI 1 Analysis of Timing</w:t>
        </w:r>
        <w:r>
          <w:rPr>
            <w:noProof/>
            <w:webHidden/>
          </w:rPr>
          <w:tab/>
        </w:r>
        <w:r>
          <w:rPr>
            <w:noProof/>
            <w:webHidden/>
          </w:rPr>
          <w:fldChar w:fldCharType="begin"/>
        </w:r>
        <w:r>
          <w:rPr>
            <w:noProof/>
            <w:webHidden/>
          </w:rPr>
          <w:instrText xml:space="preserve"> PAGEREF _Toc193376369 \h </w:instrText>
        </w:r>
        <w:r>
          <w:rPr>
            <w:noProof/>
            <w:webHidden/>
          </w:rPr>
        </w:r>
        <w:r>
          <w:rPr>
            <w:noProof/>
            <w:webHidden/>
          </w:rPr>
          <w:fldChar w:fldCharType="separate"/>
        </w:r>
        <w:r>
          <w:rPr>
            <w:noProof/>
            <w:webHidden/>
          </w:rPr>
          <w:t>17</w:t>
        </w:r>
        <w:r>
          <w:rPr>
            <w:noProof/>
            <w:webHidden/>
          </w:rPr>
          <w:fldChar w:fldCharType="end"/>
        </w:r>
      </w:hyperlink>
    </w:p>
    <w:p w14:paraId="5471AA40" w14:textId="726440F6" w:rsidR="004661F5" w:rsidRDefault="004661F5">
      <w:pPr>
        <w:pStyle w:val="TableofFigures"/>
        <w:tabs>
          <w:tab w:val="right" w:leader="dot" w:pos="9350"/>
        </w:tabs>
        <w:rPr>
          <w:rFonts w:asciiTheme="minorHAnsi" w:eastAsiaTheme="minorEastAsia" w:hAnsiTheme="minorHAnsi"/>
          <w:noProof/>
          <w:sz w:val="24"/>
        </w:rPr>
      </w:pPr>
      <w:hyperlink w:anchor="_Toc193376370" w:history="1">
        <w:r w:rsidRPr="00485D1A">
          <w:rPr>
            <w:rStyle w:val="Hyperlink"/>
            <w:noProof/>
          </w:rPr>
          <w:t>Table 3. TPI 1 Legal and Standard References</w:t>
        </w:r>
        <w:r>
          <w:rPr>
            <w:noProof/>
            <w:webHidden/>
          </w:rPr>
          <w:tab/>
        </w:r>
        <w:r>
          <w:rPr>
            <w:noProof/>
            <w:webHidden/>
          </w:rPr>
          <w:fldChar w:fldCharType="begin"/>
        </w:r>
        <w:r>
          <w:rPr>
            <w:noProof/>
            <w:webHidden/>
          </w:rPr>
          <w:instrText xml:space="preserve"> PAGEREF _Toc193376370 \h </w:instrText>
        </w:r>
        <w:r>
          <w:rPr>
            <w:noProof/>
            <w:webHidden/>
          </w:rPr>
        </w:r>
        <w:r>
          <w:rPr>
            <w:noProof/>
            <w:webHidden/>
          </w:rPr>
          <w:fldChar w:fldCharType="separate"/>
        </w:r>
        <w:r>
          <w:rPr>
            <w:noProof/>
            <w:webHidden/>
          </w:rPr>
          <w:t>18</w:t>
        </w:r>
        <w:r>
          <w:rPr>
            <w:noProof/>
            <w:webHidden/>
          </w:rPr>
          <w:fldChar w:fldCharType="end"/>
        </w:r>
      </w:hyperlink>
    </w:p>
    <w:p w14:paraId="279D35F0" w14:textId="4999E9C6" w:rsidR="004661F5" w:rsidRDefault="004661F5">
      <w:pPr>
        <w:pStyle w:val="TableofFigures"/>
        <w:tabs>
          <w:tab w:val="right" w:leader="dot" w:pos="9350"/>
        </w:tabs>
        <w:rPr>
          <w:rFonts w:asciiTheme="minorHAnsi" w:eastAsiaTheme="minorEastAsia" w:hAnsiTheme="minorHAnsi"/>
          <w:noProof/>
          <w:sz w:val="24"/>
        </w:rPr>
      </w:pPr>
      <w:hyperlink w:anchor="_Toc193376371" w:history="1">
        <w:r w:rsidRPr="00485D1A">
          <w:rPr>
            <w:rStyle w:val="Hyperlink"/>
            <w:noProof/>
          </w:rPr>
          <w:t>Table 4. TPI 2 Measurement and Description</w:t>
        </w:r>
        <w:r>
          <w:rPr>
            <w:noProof/>
            <w:webHidden/>
          </w:rPr>
          <w:tab/>
        </w:r>
        <w:r>
          <w:rPr>
            <w:noProof/>
            <w:webHidden/>
          </w:rPr>
          <w:fldChar w:fldCharType="begin"/>
        </w:r>
        <w:r>
          <w:rPr>
            <w:noProof/>
            <w:webHidden/>
          </w:rPr>
          <w:instrText xml:space="preserve"> PAGEREF _Toc193376371 \h </w:instrText>
        </w:r>
        <w:r>
          <w:rPr>
            <w:noProof/>
            <w:webHidden/>
          </w:rPr>
        </w:r>
        <w:r>
          <w:rPr>
            <w:noProof/>
            <w:webHidden/>
          </w:rPr>
          <w:fldChar w:fldCharType="separate"/>
        </w:r>
        <w:r>
          <w:rPr>
            <w:noProof/>
            <w:webHidden/>
          </w:rPr>
          <w:t>19</w:t>
        </w:r>
        <w:r>
          <w:rPr>
            <w:noProof/>
            <w:webHidden/>
          </w:rPr>
          <w:fldChar w:fldCharType="end"/>
        </w:r>
      </w:hyperlink>
    </w:p>
    <w:p w14:paraId="552B061D" w14:textId="3568768F" w:rsidR="004661F5" w:rsidRDefault="004661F5">
      <w:pPr>
        <w:pStyle w:val="TableofFigures"/>
        <w:tabs>
          <w:tab w:val="right" w:leader="dot" w:pos="9350"/>
        </w:tabs>
        <w:rPr>
          <w:rFonts w:asciiTheme="minorHAnsi" w:eastAsiaTheme="minorEastAsia" w:hAnsiTheme="minorHAnsi"/>
          <w:noProof/>
          <w:sz w:val="24"/>
        </w:rPr>
      </w:pPr>
      <w:hyperlink w:anchor="_Toc193376372" w:history="1">
        <w:r w:rsidRPr="00485D1A">
          <w:rPr>
            <w:rStyle w:val="Hyperlink"/>
            <w:noProof/>
          </w:rPr>
          <w:t>Table 5. TPI 2 Analysis of Compulsory Information</w:t>
        </w:r>
        <w:r>
          <w:rPr>
            <w:noProof/>
            <w:webHidden/>
          </w:rPr>
          <w:tab/>
        </w:r>
        <w:r>
          <w:rPr>
            <w:noProof/>
            <w:webHidden/>
          </w:rPr>
          <w:fldChar w:fldCharType="begin"/>
        </w:r>
        <w:r>
          <w:rPr>
            <w:noProof/>
            <w:webHidden/>
          </w:rPr>
          <w:instrText xml:space="preserve"> PAGEREF _Toc193376372 \h </w:instrText>
        </w:r>
        <w:r>
          <w:rPr>
            <w:noProof/>
            <w:webHidden/>
          </w:rPr>
        </w:r>
        <w:r>
          <w:rPr>
            <w:noProof/>
            <w:webHidden/>
          </w:rPr>
          <w:fldChar w:fldCharType="separate"/>
        </w:r>
        <w:r>
          <w:rPr>
            <w:noProof/>
            <w:webHidden/>
          </w:rPr>
          <w:t>20</w:t>
        </w:r>
        <w:r>
          <w:rPr>
            <w:noProof/>
            <w:webHidden/>
          </w:rPr>
          <w:fldChar w:fldCharType="end"/>
        </w:r>
      </w:hyperlink>
    </w:p>
    <w:p w14:paraId="6E965CC6" w14:textId="5F77216E" w:rsidR="004661F5" w:rsidRDefault="004661F5">
      <w:pPr>
        <w:pStyle w:val="TableofFigures"/>
        <w:tabs>
          <w:tab w:val="right" w:leader="dot" w:pos="9350"/>
        </w:tabs>
        <w:rPr>
          <w:rFonts w:asciiTheme="minorHAnsi" w:eastAsiaTheme="minorEastAsia" w:hAnsiTheme="minorHAnsi"/>
          <w:noProof/>
          <w:sz w:val="24"/>
        </w:rPr>
      </w:pPr>
      <w:hyperlink w:anchor="_Toc193376373" w:history="1">
        <w:r w:rsidRPr="00485D1A">
          <w:rPr>
            <w:rStyle w:val="Hyperlink"/>
            <w:noProof/>
          </w:rPr>
          <w:t>Table 6. TPI 2 Legal and Standards References</w:t>
        </w:r>
        <w:r>
          <w:rPr>
            <w:noProof/>
            <w:webHidden/>
          </w:rPr>
          <w:tab/>
        </w:r>
        <w:r>
          <w:rPr>
            <w:noProof/>
            <w:webHidden/>
          </w:rPr>
          <w:fldChar w:fldCharType="begin"/>
        </w:r>
        <w:r>
          <w:rPr>
            <w:noProof/>
            <w:webHidden/>
          </w:rPr>
          <w:instrText xml:space="preserve"> PAGEREF _Toc193376373 \h </w:instrText>
        </w:r>
        <w:r>
          <w:rPr>
            <w:noProof/>
            <w:webHidden/>
          </w:rPr>
        </w:r>
        <w:r>
          <w:rPr>
            <w:noProof/>
            <w:webHidden/>
          </w:rPr>
          <w:fldChar w:fldCharType="separate"/>
        </w:r>
        <w:r>
          <w:rPr>
            <w:noProof/>
            <w:webHidden/>
          </w:rPr>
          <w:t>21</w:t>
        </w:r>
        <w:r>
          <w:rPr>
            <w:noProof/>
            <w:webHidden/>
          </w:rPr>
          <w:fldChar w:fldCharType="end"/>
        </w:r>
      </w:hyperlink>
    </w:p>
    <w:p w14:paraId="19721AC2" w14:textId="3388AE90" w:rsidR="004661F5" w:rsidRDefault="004661F5">
      <w:pPr>
        <w:pStyle w:val="TableofFigures"/>
        <w:tabs>
          <w:tab w:val="right" w:leader="dot" w:pos="9350"/>
        </w:tabs>
        <w:rPr>
          <w:rFonts w:asciiTheme="minorHAnsi" w:eastAsiaTheme="minorEastAsia" w:hAnsiTheme="minorHAnsi"/>
          <w:noProof/>
          <w:sz w:val="24"/>
        </w:rPr>
      </w:pPr>
      <w:hyperlink w:anchor="_Toc193376374" w:history="1">
        <w:r w:rsidRPr="00485D1A">
          <w:rPr>
            <w:rStyle w:val="Hyperlink"/>
            <w:noProof/>
          </w:rPr>
          <w:t>Table 7. TPI 3 Measurement and Description</w:t>
        </w:r>
        <w:r>
          <w:rPr>
            <w:noProof/>
            <w:webHidden/>
          </w:rPr>
          <w:tab/>
        </w:r>
        <w:r>
          <w:rPr>
            <w:noProof/>
            <w:webHidden/>
          </w:rPr>
          <w:fldChar w:fldCharType="begin"/>
        </w:r>
        <w:r>
          <w:rPr>
            <w:noProof/>
            <w:webHidden/>
          </w:rPr>
          <w:instrText xml:space="preserve"> PAGEREF _Toc193376374 \h </w:instrText>
        </w:r>
        <w:r>
          <w:rPr>
            <w:noProof/>
            <w:webHidden/>
          </w:rPr>
        </w:r>
        <w:r>
          <w:rPr>
            <w:noProof/>
            <w:webHidden/>
          </w:rPr>
          <w:fldChar w:fldCharType="separate"/>
        </w:r>
        <w:r>
          <w:rPr>
            <w:noProof/>
            <w:webHidden/>
          </w:rPr>
          <w:t>22</w:t>
        </w:r>
        <w:r>
          <w:rPr>
            <w:noProof/>
            <w:webHidden/>
          </w:rPr>
          <w:fldChar w:fldCharType="end"/>
        </w:r>
      </w:hyperlink>
    </w:p>
    <w:p w14:paraId="49793D7F" w14:textId="1F1EA20C" w:rsidR="004661F5" w:rsidRDefault="004661F5">
      <w:pPr>
        <w:pStyle w:val="TableofFigures"/>
        <w:tabs>
          <w:tab w:val="right" w:leader="dot" w:pos="9350"/>
        </w:tabs>
        <w:rPr>
          <w:rFonts w:asciiTheme="minorHAnsi" w:eastAsiaTheme="minorEastAsia" w:hAnsiTheme="minorHAnsi"/>
          <w:noProof/>
          <w:sz w:val="24"/>
        </w:rPr>
      </w:pPr>
      <w:hyperlink w:anchor="_Toc193376375" w:history="1">
        <w:r w:rsidRPr="00485D1A">
          <w:rPr>
            <w:rStyle w:val="Hyperlink"/>
            <w:noProof/>
          </w:rPr>
          <w:t>Table 8. TPI 3 Analysis of Access</w:t>
        </w:r>
        <w:r>
          <w:rPr>
            <w:noProof/>
            <w:webHidden/>
          </w:rPr>
          <w:tab/>
        </w:r>
        <w:r>
          <w:rPr>
            <w:noProof/>
            <w:webHidden/>
          </w:rPr>
          <w:fldChar w:fldCharType="begin"/>
        </w:r>
        <w:r>
          <w:rPr>
            <w:noProof/>
            <w:webHidden/>
          </w:rPr>
          <w:instrText xml:space="preserve"> PAGEREF _Toc193376375 \h </w:instrText>
        </w:r>
        <w:r>
          <w:rPr>
            <w:noProof/>
            <w:webHidden/>
          </w:rPr>
        </w:r>
        <w:r>
          <w:rPr>
            <w:noProof/>
            <w:webHidden/>
          </w:rPr>
          <w:fldChar w:fldCharType="separate"/>
        </w:r>
        <w:r>
          <w:rPr>
            <w:noProof/>
            <w:webHidden/>
          </w:rPr>
          <w:t>23</w:t>
        </w:r>
        <w:r>
          <w:rPr>
            <w:noProof/>
            <w:webHidden/>
          </w:rPr>
          <w:fldChar w:fldCharType="end"/>
        </w:r>
      </w:hyperlink>
    </w:p>
    <w:p w14:paraId="4B3913BE" w14:textId="35ECFC97" w:rsidR="004661F5" w:rsidRDefault="004661F5">
      <w:pPr>
        <w:pStyle w:val="TableofFigures"/>
        <w:tabs>
          <w:tab w:val="right" w:leader="dot" w:pos="9350"/>
        </w:tabs>
        <w:rPr>
          <w:rFonts w:asciiTheme="minorHAnsi" w:eastAsiaTheme="minorEastAsia" w:hAnsiTheme="minorHAnsi"/>
          <w:noProof/>
          <w:sz w:val="24"/>
        </w:rPr>
      </w:pPr>
      <w:hyperlink w:anchor="_Toc193376376" w:history="1">
        <w:r w:rsidRPr="00485D1A">
          <w:rPr>
            <w:rStyle w:val="Hyperlink"/>
            <w:noProof/>
          </w:rPr>
          <w:t>Table 9. TPI 3 Legal and Standards References</w:t>
        </w:r>
        <w:r>
          <w:rPr>
            <w:noProof/>
            <w:webHidden/>
          </w:rPr>
          <w:tab/>
        </w:r>
        <w:r>
          <w:rPr>
            <w:noProof/>
            <w:webHidden/>
          </w:rPr>
          <w:fldChar w:fldCharType="begin"/>
        </w:r>
        <w:r>
          <w:rPr>
            <w:noProof/>
            <w:webHidden/>
          </w:rPr>
          <w:instrText xml:space="preserve"> PAGEREF _Toc193376376 \h </w:instrText>
        </w:r>
        <w:r>
          <w:rPr>
            <w:noProof/>
            <w:webHidden/>
          </w:rPr>
        </w:r>
        <w:r>
          <w:rPr>
            <w:noProof/>
            <w:webHidden/>
          </w:rPr>
          <w:fldChar w:fldCharType="separate"/>
        </w:r>
        <w:r>
          <w:rPr>
            <w:noProof/>
            <w:webHidden/>
          </w:rPr>
          <w:t>24</w:t>
        </w:r>
        <w:r>
          <w:rPr>
            <w:noProof/>
            <w:webHidden/>
          </w:rPr>
          <w:fldChar w:fldCharType="end"/>
        </w:r>
      </w:hyperlink>
    </w:p>
    <w:p w14:paraId="67B73B5C" w14:textId="7C1A5751" w:rsidR="004661F5" w:rsidRDefault="004661F5">
      <w:pPr>
        <w:pStyle w:val="TableofFigures"/>
        <w:tabs>
          <w:tab w:val="right" w:leader="dot" w:pos="9350"/>
        </w:tabs>
        <w:rPr>
          <w:rFonts w:asciiTheme="minorHAnsi" w:eastAsiaTheme="minorEastAsia" w:hAnsiTheme="minorHAnsi"/>
          <w:noProof/>
          <w:sz w:val="24"/>
        </w:rPr>
      </w:pPr>
      <w:hyperlink w:anchor="_Toc193376377" w:history="1">
        <w:r w:rsidRPr="00485D1A">
          <w:rPr>
            <w:rStyle w:val="Hyperlink"/>
            <w:noProof/>
          </w:rPr>
          <w:t>Table 10. TPI 4 Measurement and Description</w:t>
        </w:r>
        <w:r>
          <w:rPr>
            <w:noProof/>
            <w:webHidden/>
          </w:rPr>
          <w:tab/>
        </w:r>
        <w:r>
          <w:rPr>
            <w:noProof/>
            <w:webHidden/>
          </w:rPr>
          <w:fldChar w:fldCharType="begin"/>
        </w:r>
        <w:r>
          <w:rPr>
            <w:noProof/>
            <w:webHidden/>
          </w:rPr>
          <w:instrText xml:space="preserve"> PAGEREF _Toc193376377 \h </w:instrText>
        </w:r>
        <w:r>
          <w:rPr>
            <w:noProof/>
            <w:webHidden/>
          </w:rPr>
        </w:r>
        <w:r>
          <w:rPr>
            <w:noProof/>
            <w:webHidden/>
          </w:rPr>
          <w:fldChar w:fldCharType="separate"/>
        </w:r>
        <w:r>
          <w:rPr>
            <w:noProof/>
            <w:webHidden/>
          </w:rPr>
          <w:t>25</w:t>
        </w:r>
        <w:r>
          <w:rPr>
            <w:noProof/>
            <w:webHidden/>
          </w:rPr>
          <w:fldChar w:fldCharType="end"/>
        </w:r>
      </w:hyperlink>
    </w:p>
    <w:p w14:paraId="7B6D225E" w14:textId="2740C5FD" w:rsidR="004661F5" w:rsidRDefault="004661F5">
      <w:pPr>
        <w:pStyle w:val="TableofFigures"/>
        <w:tabs>
          <w:tab w:val="right" w:leader="dot" w:pos="9350"/>
        </w:tabs>
        <w:rPr>
          <w:rFonts w:asciiTheme="minorHAnsi" w:eastAsiaTheme="minorEastAsia" w:hAnsiTheme="minorHAnsi"/>
          <w:noProof/>
          <w:sz w:val="24"/>
        </w:rPr>
      </w:pPr>
      <w:hyperlink w:anchor="_Toc193376378" w:history="1">
        <w:r w:rsidRPr="00485D1A">
          <w:rPr>
            <w:rStyle w:val="Hyperlink"/>
            <w:noProof/>
          </w:rPr>
          <w:t>Table 11. TPI 4 Analysis of Security and Sovereignty</w:t>
        </w:r>
        <w:r>
          <w:rPr>
            <w:noProof/>
            <w:webHidden/>
          </w:rPr>
          <w:tab/>
        </w:r>
        <w:r>
          <w:rPr>
            <w:noProof/>
            <w:webHidden/>
          </w:rPr>
          <w:fldChar w:fldCharType="begin"/>
        </w:r>
        <w:r>
          <w:rPr>
            <w:noProof/>
            <w:webHidden/>
          </w:rPr>
          <w:instrText xml:space="preserve"> PAGEREF _Toc193376378 \h </w:instrText>
        </w:r>
        <w:r>
          <w:rPr>
            <w:noProof/>
            <w:webHidden/>
          </w:rPr>
        </w:r>
        <w:r>
          <w:rPr>
            <w:noProof/>
            <w:webHidden/>
          </w:rPr>
          <w:fldChar w:fldCharType="separate"/>
        </w:r>
        <w:r>
          <w:rPr>
            <w:noProof/>
            <w:webHidden/>
          </w:rPr>
          <w:t>26</w:t>
        </w:r>
        <w:r>
          <w:rPr>
            <w:noProof/>
            <w:webHidden/>
          </w:rPr>
          <w:fldChar w:fldCharType="end"/>
        </w:r>
      </w:hyperlink>
    </w:p>
    <w:p w14:paraId="24CC6A35" w14:textId="2AE02918" w:rsidR="004661F5" w:rsidRDefault="004661F5">
      <w:pPr>
        <w:pStyle w:val="TableofFigures"/>
        <w:tabs>
          <w:tab w:val="right" w:leader="dot" w:pos="9350"/>
        </w:tabs>
        <w:rPr>
          <w:rFonts w:asciiTheme="minorHAnsi" w:eastAsiaTheme="minorEastAsia" w:hAnsiTheme="minorHAnsi"/>
          <w:noProof/>
          <w:sz w:val="24"/>
        </w:rPr>
      </w:pPr>
      <w:hyperlink w:anchor="_Toc193376379" w:history="1">
        <w:r w:rsidRPr="00485D1A">
          <w:rPr>
            <w:rStyle w:val="Hyperlink"/>
            <w:noProof/>
          </w:rPr>
          <w:t>Table 12. TPI 4 Legal and Standards References</w:t>
        </w:r>
        <w:r>
          <w:rPr>
            <w:noProof/>
            <w:webHidden/>
          </w:rPr>
          <w:tab/>
        </w:r>
        <w:r>
          <w:rPr>
            <w:noProof/>
            <w:webHidden/>
          </w:rPr>
          <w:fldChar w:fldCharType="begin"/>
        </w:r>
        <w:r>
          <w:rPr>
            <w:noProof/>
            <w:webHidden/>
          </w:rPr>
          <w:instrText xml:space="preserve"> PAGEREF _Toc193376379 \h </w:instrText>
        </w:r>
        <w:r>
          <w:rPr>
            <w:noProof/>
            <w:webHidden/>
          </w:rPr>
        </w:r>
        <w:r>
          <w:rPr>
            <w:noProof/>
            <w:webHidden/>
          </w:rPr>
          <w:fldChar w:fldCharType="separate"/>
        </w:r>
        <w:r>
          <w:rPr>
            <w:noProof/>
            <w:webHidden/>
          </w:rPr>
          <w:t>27</w:t>
        </w:r>
        <w:r>
          <w:rPr>
            <w:noProof/>
            <w:webHidden/>
          </w:rPr>
          <w:fldChar w:fldCharType="end"/>
        </w:r>
      </w:hyperlink>
    </w:p>
    <w:p w14:paraId="34AEDD32" w14:textId="5113490C" w:rsidR="007B44F0" w:rsidRPr="008A609C" w:rsidRDefault="008A609C">
      <w:r>
        <w:fldChar w:fldCharType="end"/>
      </w:r>
    </w:p>
    <w:p w14:paraId="792BE1F4" w14:textId="28937D6D" w:rsidR="007B44F0" w:rsidRDefault="007B44F0" w:rsidP="00564F90">
      <w:pPr>
        <w:spacing w:line="240" w:lineRule="auto"/>
        <w:rPr>
          <w:rFonts w:cs="Arial"/>
          <w:i/>
          <w:iCs/>
          <w:szCs w:val="22"/>
        </w:rPr>
      </w:pPr>
      <w:r w:rsidRPr="007B44F0">
        <w:rPr>
          <w:rFonts w:cs="Arial"/>
          <w:i/>
          <w:iCs/>
          <w:szCs w:val="22"/>
        </w:rPr>
        <w:t>(Appendi</w:t>
      </w:r>
      <w:r w:rsidR="0087111F">
        <w:rPr>
          <w:rFonts w:cs="Arial"/>
          <w:i/>
          <w:iCs/>
          <w:szCs w:val="22"/>
        </w:rPr>
        <w:t>ces</w:t>
      </w:r>
      <w:r w:rsidRPr="007B44F0">
        <w:rPr>
          <w:rFonts w:cs="Arial"/>
          <w:i/>
          <w:iCs/>
          <w:szCs w:val="22"/>
        </w:rPr>
        <w:t>)</w:t>
      </w:r>
    </w:p>
    <w:p w14:paraId="18015DC0" w14:textId="4E60724F" w:rsidR="004661F5" w:rsidRDefault="00940F4C">
      <w:pPr>
        <w:pStyle w:val="TableofFigures"/>
        <w:tabs>
          <w:tab w:val="right" w:leader="dot" w:pos="9350"/>
        </w:tabs>
        <w:rPr>
          <w:rFonts w:asciiTheme="minorHAnsi" w:eastAsiaTheme="minorEastAsia" w:hAnsiTheme="minorHAnsi"/>
          <w:noProof/>
          <w:sz w:val="24"/>
        </w:rPr>
      </w:pPr>
      <w:r>
        <w:rPr>
          <w:rFonts w:cs="Arial"/>
          <w:i/>
          <w:iCs/>
          <w:szCs w:val="22"/>
        </w:rPr>
        <w:fldChar w:fldCharType="begin"/>
      </w:r>
      <w:r>
        <w:rPr>
          <w:rFonts w:cs="Arial"/>
          <w:i/>
          <w:iCs/>
          <w:szCs w:val="22"/>
        </w:rPr>
        <w:instrText xml:space="preserve"> TOC \h \z \c "Table A." </w:instrText>
      </w:r>
      <w:r>
        <w:rPr>
          <w:rFonts w:cs="Arial"/>
          <w:i/>
          <w:iCs/>
          <w:szCs w:val="22"/>
        </w:rPr>
        <w:fldChar w:fldCharType="separate"/>
      </w:r>
      <w:hyperlink w:anchor="_Toc193376380" w:history="1">
        <w:r w:rsidR="004661F5" w:rsidRPr="004C3167">
          <w:rPr>
            <w:rStyle w:val="Hyperlink"/>
            <w:noProof/>
          </w:rPr>
          <w:t>Table A. 1 PII Controller Identification Record Fields</w:t>
        </w:r>
        <w:r w:rsidR="004661F5">
          <w:rPr>
            <w:noProof/>
            <w:webHidden/>
          </w:rPr>
          <w:tab/>
        </w:r>
        <w:r w:rsidR="004661F5">
          <w:rPr>
            <w:noProof/>
            <w:webHidden/>
          </w:rPr>
          <w:fldChar w:fldCharType="begin"/>
        </w:r>
        <w:r w:rsidR="004661F5">
          <w:rPr>
            <w:noProof/>
            <w:webHidden/>
          </w:rPr>
          <w:instrText xml:space="preserve"> PAGEREF _Toc193376380 \h </w:instrText>
        </w:r>
        <w:r w:rsidR="004661F5">
          <w:rPr>
            <w:noProof/>
            <w:webHidden/>
          </w:rPr>
        </w:r>
        <w:r w:rsidR="004661F5">
          <w:rPr>
            <w:noProof/>
            <w:webHidden/>
          </w:rPr>
          <w:fldChar w:fldCharType="separate"/>
        </w:r>
        <w:r w:rsidR="004661F5">
          <w:rPr>
            <w:noProof/>
            <w:webHidden/>
          </w:rPr>
          <w:t>30</w:t>
        </w:r>
        <w:r w:rsidR="004661F5">
          <w:rPr>
            <w:noProof/>
            <w:webHidden/>
          </w:rPr>
          <w:fldChar w:fldCharType="end"/>
        </w:r>
      </w:hyperlink>
    </w:p>
    <w:p w14:paraId="4FA38C89" w14:textId="77777777" w:rsidR="004661F5" w:rsidRPr="004661F5" w:rsidRDefault="00940F4C" w:rsidP="00564F90">
      <w:pPr>
        <w:spacing w:line="240" w:lineRule="auto"/>
        <w:rPr>
          <w:noProof/>
          <w:sz w:val="2"/>
          <w:szCs w:val="2"/>
        </w:rPr>
      </w:pPr>
      <w:r>
        <w:rPr>
          <w:rFonts w:cs="Arial"/>
          <w:i/>
          <w:iCs/>
          <w:szCs w:val="22"/>
        </w:rPr>
        <w:fldChar w:fldCharType="end"/>
      </w:r>
      <w:r w:rsidR="00564F90">
        <w:rPr>
          <w:rFonts w:cs="Arial"/>
          <w:i/>
          <w:iCs/>
          <w:szCs w:val="22"/>
        </w:rPr>
        <w:fldChar w:fldCharType="begin"/>
      </w:r>
      <w:r w:rsidR="00564F90">
        <w:rPr>
          <w:rFonts w:cs="Arial"/>
          <w:i/>
          <w:iCs/>
          <w:szCs w:val="22"/>
        </w:rPr>
        <w:instrText xml:space="preserve"> TOC \h \z \c "Table B." </w:instrText>
      </w:r>
      <w:r w:rsidR="00564F90">
        <w:rPr>
          <w:rFonts w:cs="Arial"/>
          <w:i/>
          <w:iCs/>
          <w:szCs w:val="22"/>
        </w:rPr>
        <w:fldChar w:fldCharType="separate"/>
      </w:r>
    </w:p>
    <w:p w14:paraId="50534567" w14:textId="08140DA4" w:rsidR="004661F5" w:rsidRDefault="004661F5">
      <w:pPr>
        <w:pStyle w:val="TableofFigures"/>
        <w:tabs>
          <w:tab w:val="right" w:leader="dot" w:pos="9350"/>
        </w:tabs>
        <w:rPr>
          <w:rFonts w:asciiTheme="minorHAnsi" w:eastAsiaTheme="minorEastAsia" w:hAnsiTheme="minorHAnsi"/>
          <w:noProof/>
          <w:sz w:val="24"/>
        </w:rPr>
      </w:pPr>
      <w:hyperlink w:anchor="_Toc193376383" w:history="1">
        <w:r w:rsidRPr="000E5D88">
          <w:rPr>
            <w:rStyle w:val="Hyperlink"/>
            <w:noProof/>
          </w:rPr>
          <w:t>Table B.1 Role Mapping</w:t>
        </w:r>
        <w:r>
          <w:rPr>
            <w:noProof/>
            <w:webHidden/>
          </w:rPr>
          <w:tab/>
        </w:r>
        <w:r>
          <w:rPr>
            <w:noProof/>
            <w:webHidden/>
          </w:rPr>
          <w:fldChar w:fldCharType="begin"/>
        </w:r>
        <w:r>
          <w:rPr>
            <w:noProof/>
            <w:webHidden/>
          </w:rPr>
          <w:instrText xml:space="preserve"> PAGEREF _Toc193376383 \h </w:instrText>
        </w:r>
        <w:r>
          <w:rPr>
            <w:noProof/>
            <w:webHidden/>
          </w:rPr>
        </w:r>
        <w:r>
          <w:rPr>
            <w:noProof/>
            <w:webHidden/>
          </w:rPr>
          <w:fldChar w:fldCharType="separate"/>
        </w:r>
        <w:r>
          <w:rPr>
            <w:noProof/>
            <w:webHidden/>
          </w:rPr>
          <w:t>33</w:t>
        </w:r>
        <w:r>
          <w:rPr>
            <w:noProof/>
            <w:webHidden/>
          </w:rPr>
          <w:fldChar w:fldCharType="end"/>
        </w:r>
      </w:hyperlink>
    </w:p>
    <w:p w14:paraId="4B70194E" w14:textId="6DB8A982" w:rsidR="009348C9" w:rsidRPr="007B44F0" w:rsidRDefault="00564F90" w:rsidP="00564F90">
      <w:pPr>
        <w:spacing w:line="240" w:lineRule="auto"/>
        <w:rPr>
          <w:rFonts w:cs="Arial"/>
          <w:i/>
          <w:iCs/>
          <w:szCs w:val="22"/>
        </w:rPr>
      </w:pPr>
      <w:r>
        <w:rPr>
          <w:rFonts w:cs="Arial"/>
          <w:i/>
          <w:iCs/>
          <w:szCs w:val="22"/>
        </w:rPr>
        <w:fldChar w:fldCharType="end"/>
      </w:r>
      <w:r w:rsidR="009348C9" w:rsidRPr="007B44F0">
        <w:rPr>
          <w:rFonts w:cs="Arial"/>
          <w:i/>
          <w:iCs/>
          <w:szCs w:val="22"/>
        </w:rPr>
        <w:br w:type="page"/>
      </w:r>
    </w:p>
    <w:p w14:paraId="5967C0A8" w14:textId="35FD8CB8" w:rsidR="00EF7595" w:rsidRPr="00E94567" w:rsidRDefault="001056EF" w:rsidP="001056EF">
      <w:pPr>
        <w:pStyle w:val="Heading1"/>
        <w:spacing w:line="240" w:lineRule="auto"/>
      </w:pPr>
      <w:bookmarkStart w:id="0" w:name="_Toc193376348"/>
      <w:r w:rsidRPr="001056EF">
        <w:lastRenderedPageBreak/>
        <w:t>1.</w:t>
      </w:r>
      <w:r>
        <w:t xml:space="preserve"> </w:t>
      </w:r>
      <w:r w:rsidR="00EF7595" w:rsidRPr="00E94567">
        <w:t>Introduction</w:t>
      </w:r>
      <w:bookmarkEnd w:id="0"/>
    </w:p>
    <w:p w14:paraId="20DA4F1B" w14:textId="15D904AB" w:rsidR="009348C9" w:rsidRPr="009348C9" w:rsidRDefault="009348C9" w:rsidP="009348C9">
      <w:pPr>
        <w:rPr>
          <w:szCs w:val="22"/>
        </w:rPr>
      </w:pPr>
      <w:r>
        <w:rPr>
          <w:noProof/>
          <w:color w:val="000000" w:themeColor="text1"/>
        </w:rPr>
        <mc:AlternateContent>
          <mc:Choice Requires="wps">
            <w:drawing>
              <wp:anchor distT="0" distB="0" distL="114300" distR="114300" simplePos="0" relativeHeight="251659264" behindDoc="0" locked="0" layoutInCell="1" allowOverlap="1" wp14:anchorId="0C297E0C" wp14:editId="3D97AF3B">
                <wp:simplePos x="0" y="0"/>
                <wp:positionH relativeFrom="column">
                  <wp:posOffset>-59690</wp:posOffset>
                </wp:positionH>
                <wp:positionV relativeFrom="paragraph">
                  <wp:posOffset>50343</wp:posOffset>
                </wp:positionV>
                <wp:extent cx="5943600" cy="0"/>
                <wp:effectExtent l="0" t="0" r="12700" b="12700"/>
                <wp:wrapNone/>
                <wp:docPr id="354518030"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CF4D55">
              <v:line id="Straight Connector 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7pt,3.95pt" to="463.3pt,3.95pt" w14:anchorId="71C2F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">
                <v:stroke joinstyle="miter"/>
              </v:line>
            </w:pict>
          </mc:Fallback>
        </mc:AlternateContent>
      </w:r>
    </w:p>
    <w:p w14:paraId="547EC31B" w14:textId="66824611" w:rsidR="00EF7595" w:rsidRDefault="00EF7595" w:rsidP="00EF7595">
      <w:r w:rsidRPr="0C2E1696">
        <w:t xml:space="preserve">The capacity to consent is underpinned by the privacy principle of openness, and knowledge of to whom one </w:t>
      </w:r>
      <w:r w:rsidR="56CCCDB2" w:rsidRPr="0C2E1696">
        <w:t>consents</w:t>
      </w:r>
      <w:r w:rsidRPr="0C2E1696">
        <w:t xml:space="preserve"> is critical.  Openness is a fundamental democratic requirement, entrenched in legislation in all countries, culture</w:t>
      </w:r>
      <w:r w:rsidR="00E94567">
        <w:t>s,</w:t>
      </w:r>
      <w:r w:rsidRPr="0C2E1696">
        <w:t xml:space="preserve"> and governing contexts. When any type of identification or recorded surveillance of individuals occurs, identification of who the PII Controller is, that is</w:t>
      </w:r>
      <w:r w:rsidR="00E94567">
        <w:t>,</w:t>
      </w:r>
      <w:r w:rsidRPr="0C2E1696">
        <w:t xml:space="preserve"> who is doing the surveillance, must be presented. Trust, in the protection and control </w:t>
      </w:r>
      <w:r w:rsidR="46D77842" w:rsidRPr="0C2E1696">
        <w:t>of personal</w:t>
      </w:r>
      <w:r w:rsidRPr="0C2E1696">
        <w:t xml:space="preserve"> information, in </w:t>
      </w:r>
      <w:r w:rsidR="51FF5C01" w:rsidRPr="0C2E1696">
        <w:t>both physical</w:t>
      </w:r>
      <w:r w:rsidRPr="0C2E1696">
        <w:t xml:space="preserve"> and online spaces, requires the presentation and the identification of who is accountable. </w:t>
      </w:r>
    </w:p>
    <w:p w14:paraId="0FA901B8" w14:textId="77777777" w:rsidR="0087111F" w:rsidRPr="0087111F" w:rsidRDefault="0087111F" w:rsidP="00EF7595"/>
    <w:p w14:paraId="1E0FB7DB" w14:textId="291036E8" w:rsidR="00EF7595" w:rsidRPr="00EF7595" w:rsidRDefault="00EF7595" w:rsidP="001056EF">
      <w:pPr>
        <w:rPr>
          <w:color w:val="000000" w:themeColor="text1"/>
        </w:rPr>
      </w:pPr>
      <w:r w:rsidRPr="0C2E1696">
        <w:rPr>
          <w:color w:val="000000" w:themeColor="text1"/>
        </w:rPr>
        <w:t>For safety, security</w:t>
      </w:r>
      <w:r w:rsidR="00E94567">
        <w:rPr>
          <w:color w:val="000000" w:themeColor="text1"/>
        </w:rPr>
        <w:t>,</w:t>
      </w:r>
      <w:r w:rsidRPr="0C2E1696">
        <w:rPr>
          <w:color w:val="000000" w:themeColor="text1"/>
        </w:rPr>
        <w:t xml:space="preserve"> and privacy in digital identification technologies, transparency is required for inclusive </w:t>
      </w:r>
      <w:r w:rsidR="5B4740EA" w:rsidRPr="0C2E1696">
        <w:rPr>
          <w:color w:val="000000" w:themeColor="text1"/>
        </w:rPr>
        <w:t>identification and</w:t>
      </w:r>
      <w:r w:rsidRPr="0C2E1696">
        <w:rPr>
          <w:color w:val="000000" w:themeColor="text1"/>
        </w:rPr>
        <w:t xml:space="preserve"> required prior to collecting and processing personal data. This is a foundational requirement for consent to be legally, technically, or ethically possible. This transparency is the focus and goal of this document.</w:t>
      </w:r>
    </w:p>
    <w:p w14:paraId="5C0D0641" w14:textId="77777777" w:rsidR="00EF7595" w:rsidRPr="00EF7595" w:rsidRDefault="00EF7595" w:rsidP="00EF7595">
      <w:pPr>
        <w:rPr>
          <w:color w:val="000000" w:themeColor="text1"/>
        </w:rPr>
      </w:pPr>
    </w:p>
    <w:p w14:paraId="7AB5C034" w14:textId="6FAAB67B" w:rsidR="00EF7595" w:rsidRPr="00EF7595" w:rsidRDefault="00EF7595" w:rsidP="001056EF">
      <w:pPr>
        <w:rPr>
          <w:color w:val="000000" w:themeColor="text1"/>
        </w:rPr>
      </w:pPr>
      <w:r w:rsidRPr="00EF7595">
        <w:rPr>
          <w:color w:val="000000" w:themeColor="text1"/>
        </w:rPr>
        <w:t xml:space="preserve">This </w:t>
      </w:r>
      <w:r w:rsidR="00E94567">
        <w:rPr>
          <w:color w:val="000000" w:themeColor="text1"/>
        </w:rPr>
        <w:t>Kantara Initiative</w:t>
      </w:r>
      <w:r w:rsidRPr="00EF7595">
        <w:rPr>
          <w:color w:val="000000" w:themeColor="text1"/>
        </w:rPr>
        <w:t xml:space="preserve"> recommendation specifies four (4) Transparency Performance Indicators (TPIs) that indicate if Consent is valid for any surveillance context:</w:t>
      </w:r>
      <w:r w:rsidR="00500DDC">
        <w:rPr>
          <w:color w:val="000000" w:themeColor="text1"/>
        </w:rPr>
        <w:t xml:space="preserve"> 1. </w:t>
      </w:r>
      <w:r w:rsidR="00054F3D">
        <w:rPr>
          <w:color w:val="000000" w:themeColor="text1"/>
        </w:rPr>
        <w:t>Timing of PII Controller Identification</w:t>
      </w:r>
      <w:r w:rsidR="00500DDC">
        <w:rPr>
          <w:color w:val="000000" w:themeColor="text1"/>
        </w:rPr>
        <w:t xml:space="preserve">, 2. </w:t>
      </w:r>
      <w:r w:rsidR="00054F3D">
        <w:rPr>
          <w:color w:val="000000" w:themeColor="text1"/>
        </w:rPr>
        <w:t xml:space="preserve">Presence of </w:t>
      </w:r>
      <w:r w:rsidR="000C1EAD">
        <w:rPr>
          <w:color w:val="000000" w:themeColor="text1"/>
        </w:rPr>
        <w:t>c</w:t>
      </w:r>
      <w:r w:rsidR="00054F3D">
        <w:rPr>
          <w:color w:val="000000" w:themeColor="text1"/>
        </w:rPr>
        <w:t xml:space="preserve">ompulsory </w:t>
      </w:r>
      <w:r w:rsidR="000C1EAD">
        <w:rPr>
          <w:color w:val="000000" w:themeColor="text1"/>
        </w:rPr>
        <w:t>i</w:t>
      </w:r>
      <w:r w:rsidR="00054F3D">
        <w:rPr>
          <w:color w:val="000000" w:themeColor="text1"/>
        </w:rPr>
        <w:t>dentification</w:t>
      </w:r>
      <w:r w:rsidR="00500DDC">
        <w:rPr>
          <w:color w:val="000000" w:themeColor="text1"/>
        </w:rPr>
        <w:t xml:space="preserve">, 3. </w:t>
      </w:r>
      <w:r w:rsidR="00054F3D">
        <w:rPr>
          <w:color w:val="000000" w:themeColor="text1"/>
        </w:rPr>
        <w:t xml:space="preserve">Security and </w:t>
      </w:r>
      <w:r w:rsidR="000C1EAD">
        <w:rPr>
          <w:color w:val="000000" w:themeColor="text1"/>
        </w:rPr>
        <w:t>p</w:t>
      </w:r>
      <w:r w:rsidR="00500DDC">
        <w:rPr>
          <w:color w:val="000000" w:themeColor="text1"/>
        </w:rPr>
        <w:t xml:space="preserve">rivacy </w:t>
      </w:r>
      <w:r w:rsidR="000C1EAD">
        <w:rPr>
          <w:color w:val="000000" w:themeColor="text1"/>
        </w:rPr>
        <w:t>r</w:t>
      </w:r>
      <w:r w:rsidR="00500DDC">
        <w:rPr>
          <w:color w:val="000000" w:themeColor="text1"/>
        </w:rPr>
        <w:t>ights</w:t>
      </w:r>
      <w:r w:rsidR="000C1EAD">
        <w:rPr>
          <w:color w:val="000000" w:themeColor="text1"/>
        </w:rPr>
        <w:t xml:space="preserve"> access</w:t>
      </w:r>
      <w:r w:rsidR="00500DDC">
        <w:rPr>
          <w:color w:val="000000" w:themeColor="text1"/>
        </w:rPr>
        <w:t>, 4. Security</w:t>
      </w:r>
      <w:r w:rsidR="000C1EAD">
        <w:rPr>
          <w:color w:val="000000" w:themeColor="text1"/>
        </w:rPr>
        <w:t xml:space="preserve"> and sovereignty</w:t>
      </w:r>
      <w:r w:rsidR="00E94567">
        <w:rPr>
          <w:color w:val="000000" w:themeColor="text1"/>
        </w:rPr>
        <w:t>.</w:t>
      </w:r>
      <w:r w:rsidRPr="00EF7595">
        <w:rPr>
          <w:color w:val="000000" w:themeColor="text1"/>
        </w:rPr>
        <w:t xml:space="preserve"> The</w:t>
      </w:r>
      <w:r w:rsidR="00500DDC">
        <w:rPr>
          <w:color w:val="000000" w:themeColor="text1"/>
        </w:rPr>
        <w:t>se</w:t>
      </w:r>
      <w:r w:rsidRPr="00EF7595">
        <w:rPr>
          <w:color w:val="000000" w:themeColor="text1"/>
        </w:rPr>
        <w:t xml:space="preserve"> are used to create a </w:t>
      </w:r>
      <w:r w:rsidRPr="00E94567">
        <w:rPr>
          <w:color w:val="000000" w:themeColor="text1"/>
        </w:rPr>
        <w:t>Transparency Performance Report (TPR)</w:t>
      </w:r>
      <w:r w:rsidRPr="00EF7595">
        <w:rPr>
          <w:color w:val="000000" w:themeColor="text1"/>
        </w:rPr>
        <w:t xml:space="preserve"> wherein a record of transparency is generated, </w:t>
      </w:r>
      <w:r w:rsidR="00500DDC">
        <w:rPr>
          <w:color w:val="000000" w:themeColor="text1"/>
        </w:rPr>
        <w:t xml:space="preserve">and </w:t>
      </w:r>
      <w:r w:rsidRPr="00EF7595">
        <w:rPr>
          <w:color w:val="000000" w:themeColor="text1"/>
        </w:rPr>
        <w:t xml:space="preserve">where performance is measured to determine if consent is valid and operable. </w:t>
      </w:r>
    </w:p>
    <w:p w14:paraId="299B8DDE" w14:textId="77777777" w:rsidR="00EF7595" w:rsidRPr="00EF7595" w:rsidRDefault="00EF7595" w:rsidP="00EF7595">
      <w:pPr>
        <w:rPr>
          <w:color w:val="000000" w:themeColor="text1"/>
        </w:rPr>
      </w:pPr>
    </w:p>
    <w:p w14:paraId="05BAC8AD" w14:textId="06F7F78D" w:rsidR="00EF7595" w:rsidRDefault="00EF7595" w:rsidP="00EF7595">
      <w:pPr>
        <w:rPr>
          <w:color w:val="000000" w:themeColor="text1"/>
        </w:rPr>
      </w:pPr>
      <w:r w:rsidRPr="00EF7595">
        <w:rPr>
          <w:color w:val="000000" w:themeColor="text1"/>
        </w:rPr>
        <w:t xml:space="preserve">The resulting PII Controller identification record is evidential as it is defined here with ISO/IEC 29100:2024 Privacy framework, using the Kantara Consent Receipt v1.1, which has evolved now into the ISO/IEC 27560:2024 Consent record information structure. It is applied here to enable the measure of international (internet) legal adequacy, of transparency for consent. This represents, and is required as, the underlying legal justification for digital identification management technologies. </w:t>
      </w:r>
    </w:p>
    <w:p w14:paraId="349B6565" w14:textId="77777777" w:rsidR="0087111F" w:rsidRPr="00EF7595" w:rsidRDefault="0087111F" w:rsidP="00EF7595">
      <w:pPr>
        <w:rPr>
          <w:color w:val="000000" w:themeColor="text1"/>
        </w:rPr>
      </w:pPr>
    </w:p>
    <w:p w14:paraId="69B14A92" w14:textId="51C3F895" w:rsidR="00EF7595" w:rsidRPr="00EF7595" w:rsidRDefault="00EF7595" w:rsidP="00EF7595">
      <w:pPr>
        <w:rPr>
          <w:color w:val="000000" w:themeColor="text1"/>
        </w:rPr>
      </w:pPr>
      <w:r w:rsidRPr="0C2E1696">
        <w:rPr>
          <w:color w:val="000000" w:themeColor="text1"/>
        </w:rPr>
        <w:lastRenderedPageBreak/>
        <w:t xml:space="preserve">Without a presentation of Controller identification, there is no legal or technical way for people to be informed about who is in control and accountable for the security, privacy, </w:t>
      </w:r>
      <w:r w:rsidR="5EBF2702" w:rsidRPr="0C2E1696">
        <w:rPr>
          <w:color w:val="000000" w:themeColor="text1"/>
        </w:rPr>
        <w:t>and sovereignty</w:t>
      </w:r>
      <w:r w:rsidRPr="0C2E1696">
        <w:rPr>
          <w:color w:val="000000" w:themeColor="text1"/>
        </w:rPr>
        <w:t xml:space="preserve"> of surveillance in short how trustworthy is “digital trust”). Without the PII Controller identification record, there is no traceability or accountability for misinformation, independent of service providers, much like running a business without auditing or accounting with </w:t>
      </w:r>
      <w:r w:rsidR="215FDF54" w:rsidRPr="0C2E1696">
        <w:rPr>
          <w:color w:val="000000" w:themeColor="text1"/>
        </w:rPr>
        <w:t>generally</w:t>
      </w:r>
      <w:r w:rsidR="6E3F4018" w:rsidRPr="0C2E1696">
        <w:rPr>
          <w:color w:val="000000" w:themeColor="text1"/>
        </w:rPr>
        <w:t xml:space="preserve"> </w:t>
      </w:r>
      <w:r w:rsidR="12135C24" w:rsidRPr="0C2E1696">
        <w:rPr>
          <w:color w:val="000000" w:themeColor="text1"/>
        </w:rPr>
        <w:t>accepted</w:t>
      </w:r>
      <w:r w:rsidRPr="0C2E1696">
        <w:rPr>
          <w:color w:val="000000" w:themeColor="text1"/>
        </w:rPr>
        <w:t xml:space="preserve"> principles. </w:t>
      </w:r>
      <w:r w:rsidR="10E47099" w:rsidRPr="0C2E1696">
        <w:rPr>
          <w:color w:val="000000" w:themeColor="text1"/>
        </w:rPr>
        <w:t xml:space="preserve">This requirement is essential for human security, compulsory for consent, or any type of legitimate processing regardless of justification or </w:t>
      </w:r>
      <w:r w:rsidR="00E94567">
        <w:rPr>
          <w:color w:val="000000" w:themeColor="text1"/>
        </w:rPr>
        <w:t xml:space="preserve">the </w:t>
      </w:r>
      <w:r w:rsidR="10E47099" w:rsidRPr="0C2E1696">
        <w:rPr>
          <w:color w:val="000000" w:themeColor="text1"/>
        </w:rPr>
        <w:t>Controller.</w:t>
      </w:r>
      <w:r w:rsidRPr="0C2E1696">
        <w:rPr>
          <w:color w:val="000000" w:themeColor="text1"/>
        </w:rPr>
        <w:t xml:space="preserve"> </w:t>
      </w:r>
    </w:p>
    <w:p w14:paraId="5186A5F2" w14:textId="77777777" w:rsidR="00EF7595" w:rsidRPr="00EF7595" w:rsidRDefault="00EF7595" w:rsidP="00EF7595">
      <w:pPr>
        <w:rPr>
          <w:color w:val="000000" w:themeColor="text1"/>
        </w:rPr>
      </w:pPr>
    </w:p>
    <w:p w14:paraId="359905C3" w14:textId="4F16CA9F" w:rsidR="00EF7595" w:rsidRPr="00EF7595" w:rsidRDefault="00EF7595" w:rsidP="00EF7595">
      <w:pPr>
        <w:rPr>
          <w:color w:val="000000" w:themeColor="text1"/>
        </w:rPr>
      </w:pPr>
      <w:r w:rsidRPr="0C2E1696">
        <w:rPr>
          <w:color w:val="000000" w:themeColor="text1"/>
        </w:rPr>
        <w:t>Transparency modalities take the form of the timing and type of notice required to authorize organizations to collect, process</w:t>
      </w:r>
      <w:r w:rsidR="00E94567">
        <w:rPr>
          <w:color w:val="000000" w:themeColor="text1"/>
        </w:rPr>
        <w:t>,</w:t>
      </w:r>
      <w:r w:rsidRPr="0C2E1696">
        <w:rPr>
          <w:color w:val="000000" w:themeColor="text1"/>
        </w:rPr>
        <w:t xml:space="preserve"> or otherwise surveil an </w:t>
      </w:r>
      <w:r w:rsidR="217F2E1C" w:rsidRPr="0C2E1696">
        <w:rPr>
          <w:color w:val="000000" w:themeColor="text1"/>
        </w:rPr>
        <w:t>individual, transparency</w:t>
      </w:r>
      <w:r w:rsidRPr="0C2E1696">
        <w:rPr>
          <w:color w:val="000000" w:themeColor="text1"/>
        </w:rPr>
        <w:t xml:space="preserve"> is required to not only meet legal obligations</w:t>
      </w:r>
      <w:r w:rsidR="00E94567">
        <w:rPr>
          <w:color w:val="000000" w:themeColor="text1"/>
        </w:rPr>
        <w:t>,</w:t>
      </w:r>
      <w:r w:rsidRPr="0C2E1696">
        <w:rPr>
          <w:color w:val="000000" w:themeColor="text1"/>
        </w:rPr>
        <w:t xml:space="preserve"> but also for </w:t>
      </w:r>
      <w:r w:rsidR="1AC9B80F" w:rsidRPr="0C2E1696">
        <w:rPr>
          <w:color w:val="000000" w:themeColor="text1"/>
        </w:rPr>
        <w:t>the capacity</w:t>
      </w:r>
      <w:r w:rsidRPr="0C2E1696">
        <w:rPr>
          <w:color w:val="000000" w:themeColor="text1"/>
        </w:rPr>
        <w:t xml:space="preserve"> to trust and </w:t>
      </w:r>
      <w:r w:rsidR="10DC8F9F" w:rsidRPr="0C2E1696">
        <w:rPr>
          <w:color w:val="000000" w:themeColor="text1"/>
        </w:rPr>
        <w:t>enforce accountability</w:t>
      </w:r>
      <w:r w:rsidRPr="0C2E1696">
        <w:rPr>
          <w:color w:val="000000" w:themeColor="text1"/>
        </w:rPr>
        <w:t xml:space="preserve"> for all security and privacy stakeholders. </w:t>
      </w:r>
    </w:p>
    <w:p w14:paraId="4A7EE34E" w14:textId="77777777" w:rsidR="00EF7595" w:rsidRPr="00EF7595" w:rsidRDefault="00EF7595" w:rsidP="00EF7595">
      <w:pPr>
        <w:rPr>
          <w:color w:val="000000" w:themeColor="text1"/>
        </w:rPr>
      </w:pPr>
    </w:p>
    <w:p w14:paraId="00E2FC89" w14:textId="03FBA0B4" w:rsidR="00EF7595" w:rsidRPr="00EF7595" w:rsidRDefault="00EF7595" w:rsidP="00EF7595">
      <w:pPr>
        <w:rPr>
          <w:color w:val="000000" w:themeColor="text1"/>
        </w:rPr>
      </w:pPr>
      <w:r w:rsidRPr="0C2E1696">
        <w:rPr>
          <w:color w:val="000000" w:themeColor="text1"/>
        </w:rPr>
        <w:t xml:space="preserve">The audience for this transparency report </w:t>
      </w:r>
      <w:r w:rsidR="00E94567">
        <w:rPr>
          <w:color w:val="000000" w:themeColor="text1"/>
        </w:rPr>
        <w:t>is</w:t>
      </w:r>
      <w:r w:rsidRPr="0C2E1696">
        <w:rPr>
          <w:color w:val="000000" w:themeColor="text1"/>
        </w:rPr>
        <w:t xml:space="preserve"> individuals, organizations, developers, and regulators. </w:t>
      </w:r>
      <w:r w:rsidR="4CACCA89" w:rsidRPr="0C2E1696">
        <w:rPr>
          <w:color w:val="000000" w:themeColor="text1"/>
        </w:rPr>
        <w:t>This report's objective is to support these stakeholders in observing the active state of transparency and its performance.</w:t>
      </w:r>
      <w:r w:rsidRPr="0C2E1696">
        <w:rPr>
          <w:color w:val="000000" w:themeColor="text1"/>
        </w:rPr>
        <w:t xml:space="preserve"> This is particularly relevant for the governance of surveillance in communications networks and information systems. By providing a structured framework for recording and evaluating transparency, the TPR’s objective is to assist stakeholders in navigating complex security and privacy considerations while fostering innovation in digital trust transparency and its legal compliance.</w:t>
      </w:r>
    </w:p>
    <w:p w14:paraId="1EFEB50A" w14:textId="77777777" w:rsidR="00EF7595" w:rsidRPr="00EF7595" w:rsidRDefault="00EF7595" w:rsidP="00EF7595">
      <w:pPr>
        <w:rPr>
          <w:color w:val="000000" w:themeColor="text1"/>
        </w:rPr>
      </w:pPr>
    </w:p>
    <w:p w14:paraId="747800ED" w14:textId="5944184C" w:rsidR="007B0EC0" w:rsidRPr="00EF7595" w:rsidRDefault="00EF7595">
      <w:pPr>
        <w:rPr>
          <w:color w:val="000000" w:themeColor="text1"/>
          <w:highlight w:val="white"/>
        </w:rPr>
      </w:pPr>
      <w:r w:rsidRPr="0C2E1696">
        <w:rPr>
          <w:color w:val="000000" w:themeColor="text1"/>
        </w:rPr>
        <w:t>The TPR provides a minimum consent and sovereign security validation tool for digital surveillance, identification</w:t>
      </w:r>
      <w:r w:rsidR="00FF278A" w:rsidRPr="0C2E1696">
        <w:rPr>
          <w:color w:val="000000" w:themeColor="text1"/>
        </w:rPr>
        <w:t>,</w:t>
      </w:r>
      <w:r w:rsidRPr="0C2E1696">
        <w:rPr>
          <w:color w:val="000000" w:themeColor="text1"/>
        </w:rPr>
        <w:t xml:space="preserve"> and artificial intelligence (AI) technologies. It assesses whether transparency is operational and secure as </w:t>
      </w:r>
      <w:r w:rsidR="5C65B8EA" w:rsidRPr="0C2E1696">
        <w:rPr>
          <w:color w:val="000000" w:themeColor="text1"/>
        </w:rPr>
        <w:t>a prerequisite</w:t>
      </w:r>
      <w:r w:rsidRPr="0C2E1696">
        <w:rPr>
          <w:color w:val="000000" w:themeColor="text1"/>
        </w:rPr>
        <w:t xml:space="preserve"> for consent. It has an extensive scope of application and can be extended into an international and inclusive benchmark.</w:t>
      </w:r>
      <w:r w:rsidR="00E94567">
        <w:rPr>
          <w:color w:val="000000" w:themeColor="text1"/>
        </w:rPr>
        <w:t xml:space="preserve"> </w:t>
      </w:r>
      <w:r w:rsidRPr="0C2E1696">
        <w:rPr>
          <w:color w:val="000000" w:themeColor="text1"/>
        </w:rPr>
        <w:t>The TPR reports on Controller identification transparency rather than the technical details, or implementation mechanisms of technology. The specifics depend on various contextual factors beyond the scope of this report framework. Instead, the TPR provides a foundational approach to measuring transparency in PII processing, which can be extended in context by regulatory requirements.</w:t>
      </w:r>
      <w:r>
        <w:br w:type="page"/>
      </w:r>
    </w:p>
    <w:p w14:paraId="17E5DD8E" w14:textId="226BDF9F" w:rsidR="001E5347" w:rsidRPr="00E94567" w:rsidRDefault="001E5347" w:rsidP="001056EF">
      <w:pPr>
        <w:pStyle w:val="Heading1"/>
        <w:spacing w:line="240" w:lineRule="auto"/>
      </w:pPr>
      <w:bookmarkStart w:id="1" w:name="_Toc193376349"/>
      <w:r w:rsidRPr="00E94567">
        <w:lastRenderedPageBreak/>
        <w:t xml:space="preserve">2. </w:t>
      </w:r>
      <w:r w:rsidR="00EF7595" w:rsidRPr="00E94567">
        <w:t>Scope</w:t>
      </w:r>
      <w:bookmarkEnd w:id="1"/>
      <w:r w:rsidRPr="00E94567">
        <w:t xml:space="preserve"> </w:t>
      </w:r>
    </w:p>
    <w:p w14:paraId="68714017" w14:textId="77777777" w:rsidR="001E5347" w:rsidRPr="009348C9" w:rsidRDefault="001E5347" w:rsidP="001E5347">
      <w:pPr>
        <w:rPr>
          <w:szCs w:val="22"/>
        </w:rPr>
      </w:pPr>
      <w:r>
        <w:rPr>
          <w:noProof/>
          <w:color w:val="000000" w:themeColor="text1"/>
        </w:rPr>
        <mc:AlternateContent>
          <mc:Choice Requires="wps">
            <w:drawing>
              <wp:anchor distT="0" distB="0" distL="114300" distR="114300" simplePos="0" relativeHeight="251661312" behindDoc="0" locked="0" layoutInCell="1" allowOverlap="1" wp14:anchorId="3D087F34" wp14:editId="0A04BB4C">
                <wp:simplePos x="0" y="0"/>
                <wp:positionH relativeFrom="column">
                  <wp:posOffset>-59690</wp:posOffset>
                </wp:positionH>
                <wp:positionV relativeFrom="paragraph">
                  <wp:posOffset>50343</wp:posOffset>
                </wp:positionV>
                <wp:extent cx="5943600" cy="0"/>
                <wp:effectExtent l="0" t="0" r="12700" b="12700"/>
                <wp:wrapNone/>
                <wp:docPr id="1925289369"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9368B3">
              <v:line id="Straight Connector 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7pt,3.95pt" to="463.3pt,3.95pt" w14:anchorId="2F65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">
                <v:stroke joinstyle="miter"/>
              </v:line>
            </w:pict>
          </mc:Fallback>
        </mc:AlternateContent>
      </w:r>
    </w:p>
    <w:p w14:paraId="7AE8137B" w14:textId="77777777" w:rsidR="00EF7595" w:rsidRPr="00EF7595" w:rsidRDefault="00EF7595" w:rsidP="00EF7595">
      <w:pPr>
        <w:pBdr>
          <w:top w:val="nil"/>
          <w:left w:val="nil"/>
          <w:bottom w:val="nil"/>
          <w:right w:val="nil"/>
          <w:between w:val="nil"/>
        </w:pBdr>
        <w:rPr>
          <w:rFonts w:cs="Arial"/>
          <w:color w:val="000000" w:themeColor="text1"/>
          <w:szCs w:val="22"/>
        </w:rPr>
      </w:pPr>
      <w:r w:rsidRPr="00EF7595">
        <w:rPr>
          <w:rFonts w:cs="Arial"/>
          <w:color w:val="000000" w:themeColor="text1"/>
          <w:szCs w:val="22"/>
        </w:rPr>
        <w:t xml:space="preserve">This document specifies a methodology for observing, interpreting, and measuring the performance of PII controller identification transparency, providing a standardized structure for reporting and capturing evidence of (digital trust) compliance. It records and indicates how transparent digital identification surveillance is for humans.  </w:t>
      </w:r>
    </w:p>
    <w:p w14:paraId="34404C12" w14:textId="77777777" w:rsidR="00EF7595" w:rsidRPr="00EF7595" w:rsidRDefault="00EF7595" w:rsidP="00EF7595">
      <w:pPr>
        <w:pBdr>
          <w:top w:val="nil"/>
          <w:left w:val="nil"/>
          <w:bottom w:val="nil"/>
          <w:right w:val="nil"/>
          <w:between w:val="nil"/>
        </w:pBdr>
        <w:rPr>
          <w:rFonts w:cs="Arial"/>
          <w:color w:val="000000" w:themeColor="text1"/>
          <w:szCs w:val="22"/>
        </w:rPr>
      </w:pPr>
    </w:p>
    <w:p w14:paraId="21B32815" w14:textId="45F9AAD7" w:rsidR="00EF7595" w:rsidRPr="00EF7595" w:rsidRDefault="4FE10B70" w:rsidP="0C2E1696">
      <w:pPr>
        <w:pBdr>
          <w:top w:val="nil"/>
          <w:left w:val="nil"/>
          <w:bottom w:val="nil"/>
          <w:right w:val="nil"/>
          <w:between w:val="nil"/>
        </w:pBdr>
        <w:rPr>
          <w:rFonts w:cs="Arial"/>
          <w:color w:val="000000" w:themeColor="text1"/>
        </w:rPr>
      </w:pPr>
      <w:r w:rsidRPr="0C2E1696">
        <w:rPr>
          <w:rFonts w:cs="Arial"/>
          <w:color w:val="000000" w:themeColor="text1"/>
        </w:rPr>
        <w:t>This report provides evidence of the validity and legitimacy of consent for PII processing utilizing Transparency Performance Indicators (TPIs).</w:t>
      </w:r>
      <w:r w:rsidR="00EF7595" w:rsidRPr="0C2E1696">
        <w:rPr>
          <w:rFonts w:cs="Arial"/>
          <w:color w:val="000000" w:themeColor="text1"/>
        </w:rPr>
        <w:t xml:space="preserve"> TPI’s </w:t>
      </w:r>
      <w:r w:rsidR="1ED666D7" w:rsidRPr="0C2E1696">
        <w:rPr>
          <w:rFonts w:eastAsia="Times New Roman" w:cs="Arial"/>
          <w:color w:val="000000" w:themeColor="text1"/>
        </w:rPr>
        <w:t>capture of</w:t>
      </w:r>
      <w:r w:rsidR="00EF7595" w:rsidRPr="0C2E1696">
        <w:rPr>
          <w:rFonts w:eastAsia="Times New Roman" w:cs="Arial"/>
          <w:color w:val="000000" w:themeColor="text1"/>
        </w:rPr>
        <w:t xml:space="preserve"> the </w:t>
      </w:r>
      <w:r w:rsidR="00EF7595" w:rsidRPr="0C2E1696">
        <w:rPr>
          <w:rFonts w:cs="Arial"/>
          <w:color w:val="000000" w:themeColor="text1"/>
        </w:rPr>
        <w:t>PII C</w:t>
      </w:r>
      <w:r w:rsidR="00EF7595" w:rsidRPr="0C2E1696">
        <w:rPr>
          <w:rFonts w:eastAsia="Times New Roman" w:cs="Arial"/>
          <w:color w:val="000000" w:themeColor="text1"/>
        </w:rPr>
        <w:t>ontroller</w:t>
      </w:r>
      <w:r w:rsidR="00EF7595" w:rsidRPr="0C2E1696">
        <w:rPr>
          <w:rFonts w:eastAsia="Times New Roman" w:cs="Arial"/>
          <w:color w:val="000000" w:themeColor="text1"/>
          <w:vertAlign w:val="superscript"/>
        </w:rPr>
        <w:footnoteReference w:id="1"/>
      </w:r>
      <w:r w:rsidR="00EF7595" w:rsidRPr="0C2E1696">
        <w:rPr>
          <w:rFonts w:eastAsia="Times New Roman" w:cs="Arial"/>
          <w:color w:val="000000" w:themeColor="text1"/>
        </w:rPr>
        <w:t xml:space="preserve"> </w:t>
      </w:r>
      <w:r w:rsidR="00EF7595" w:rsidRPr="0C2E1696">
        <w:rPr>
          <w:rFonts w:cs="Arial"/>
          <w:color w:val="000000" w:themeColor="text1"/>
        </w:rPr>
        <w:t>required</w:t>
      </w:r>
      <w:r w:rsidR="00EF7595" w:rsidRPr="0C2E1696">
        <w:rPr>
          <w:rFonts w:eastAsia="Times New Roman" w:cs="Arial"/>
          <w:color w:val="000000" w:themeColor="text1"/>
        </w:rPr>
        <w:t xml:space="preserve">, </w:t>
      </w:r>
      <w:r w:rsidR="3023ACC5" w:rsidRPr="0C2E1696">
        <w:rPr>
          <w:rFonts w:eastAsia="Times New Roman" w:cs="Arial"/>
          <w:color w:val="000000" w:themeColor="text1"/>
        </w:rPr>
        <w:t>security, privacy</w:t>
      </w:r>
      <w:r w:rsidR="00EF7595" w:rsidRPr="0C2E1696">
        <w:rPr>
          <w:rFonts w:eastAsia="Times New Roman" w:cs="Arial"/>
          <w:color w:val="000000" w:themeColor="text1"/>
        </w:rPr>
        <w:t xml:space="preserve"> information focusing on </w:t>
      </w:r>
      <w:r w:rsidR="00EF7595" w:rsidRPr="0C2E1696">
        <w:rPr>
          <w:rFonts w:cs="Arial"/>
          <w:color w:val="000000" w:themeColor="text1"/>
        </w:rPr>
        <w:t>capturing the first notification online independently of the PII controller to generate a controller record</w:t>
      </w:r>
      <w:r w:rsidR="00E94567">
        <w:rPr>
          <w:rFonts w:cs="Arial"/>
          <w:color w:val="000000" w:themeColor="text1"/>
        </w:rPr>
        <w:t>.</w:t>
      </w:r>
      <w:r w:rsidR="391281A6" w:rsidRPr="0C2E1696">
        <w:rPr>
          <w:rFonts w:cs="Arial"/>
          <w:color w:val="000000" w:themeColor="text1"/>
        </w:rPr>
        <w:t xml:space="preserve"> For</w:t>
      </w:r>
      <w:r w:rsidR="00EF7595" w:rsidRPr="0C2E1696">
        <w:rPr>
          <w:rFonts w:cs="Arial"/>
          <w:color w:val="000000" w:themeColor="text1"/>
        </w:rPr>
        <w:t xml:space="preserve"> </w:t>
      </w:r>
      <w:r w:rsidR="460BE3D0" w:rsidRPr="0C2E1696">
        <w:rPr>
          <w:rFonts w:cs="Arial"/>
          <w:color w:val="000000" w:themeColor="text1"/>
        </w:rPr>
        <w:t>example,</w:t>
      </w:r>
      <w:r w:rsidR="00EF7595" w:rsidRPr="0C2E1696">
        <w:rPr>
          <w:rFonts w:cs="Arial"/>
          <w:color w:val="000000" w:themeColor="text1"/>
        </w:rPr>
        <w:t xml:space="preserve"> for data processing on a website.</w:t>
      </w:r>
      <w:r w:rsidR="00EF7595" w:rsidRPr="0C2E1696">
        <w:rPr>
          <w:rFonts w:eastAsia="Times New Roman" w:cs="Arial"/>
          <w:color w:val="000000" w:themeColor="text1"/>
        </w:rPr>
        <w:t xml:space="preserve"> Specifically, the four (4) TPI</w:t>
      </w:r>
      <w:r w:rsidR="00EF7595" w:rsidRPr="0C2E1696">
        <w:rPr>
          <w:rFonts w:cs="Arial"/>
          <w:color w:val="000000" w:themeColor="text1"/>
        </w:rPr>
        <w:t xml:space="preserve">s </w:t>
      </w:r>
      <w:r w:rsidR="00EF7595" w:rsidRPr="0C2E1696">
        <w:rPr>
          <w:rFonts w:eastAsia="Times New Roman" w:cs="Arial"/>
          <w:color w:val="000000" w:themeColor="text1"/>
        </w:rPr>
        <w:t>measure</w:t>
      </w:r>
      <w:r w:rsidR="00E94567">
        <w:rPr>
          <w:rFonts w:eastAsia="Times New Roman" w:cs="Arial"/>
          <w:color w:val="000000" w:themeColor="text1"/>
        </w:rPr>
        <w:t>:</w:t>
      </w:r>
      <w:r w:rsidR="00EF7595" w:rsidRPr="0C2E1696">
        <w:rPr>
          <w:rFonts w:eastAsia="Times New Roman" w:cs="Arial"/>
          <w:color w:val="000000" w:themeColor="text1"/>
        </w:rPr>
        <w:t xml:space="preserve"> 1. </w:t>
      </w:r>
      <w:r w:rsidR="00054F3D">
        <w:rPr>
          <w:rFonts w:eastAsia="Times New Roman" w:cs="Arial"/>
          <w:color w:val="000000" w:themeColor="text1"/>
        </w:rPr>
        <w:t>T</w:t>
      </w:r>
      <w:r w:rsidR="00EF7595" w:rsidRPr="0C2E1696">
        <w:rPr>
          <w:rFonts w:eastAsia="Times New Roman" w:cs="Arial"/>
          <w:color w:val="000000" w:themeColor="text1"/>
        </w:rPr>
        <w:t>iming</w:t>
      </w:r>
      <w:r w:rsidR="00054F3D">
        <w:rPr>
          <w:rFonts w:eastAsia="Times New Roman" w:cs="Arial"/>
          <w:color w:val="000000" w:themeColor="text1"/>
        </w:rPr>
        <w:t xml:space="preserve"> of PII Controller </w:t>
      </w:r>
      <w:r w:rsidR="000C1EAD">
        <w:rPr>
          <w:rFonts w:eastAsia="Times New Roman" w:cs="Arial"/>
          <w:color w:val="000000" w:themeColor="text1"/>
        </w:rPr>
        <w:t>i</w:t>
      </w:r>
      <w:r w:rsidR="00054F3D">
        <w:rPr>
          <w:rFonts w:eastAsia="Times New Roman" w:cs="Arial"/>
          <w:color w:val="000000" w:themeColor="text1"/>
        </w:rPr>
        <w:t>dentification</w:t>
      </w:r>
      <w:r w:rsidR="00EF7595" w:rsidRPr="0C2E1696">
        <w:rPr>
          <w:rFonts w:eastAsia="Times New Roman" w:cs="Arial"/>
          <w:color w:val="000000" w:themeColor="text1"/>
        </w:rPr>
        <w:t xml:space="preserve">, 2. </w:t>
      </w:r>
      <w:r w:rsidR="00054F3D">
        <w:rPr>
          <w:rFonts w:eastAsia="Times New Roman" w:cs="Arial"/>
          <w:color w:val="000000" w:themeColor="text1"/>
        </w:rPr>
        <w:t xml:space="preserve">Presence of </w:t>
      </w:r>
      <w:r w:rsidR="000C1EAD">
        <w:rPr>
          <w:rFonts w:eastAsia="Times New Roman" w:cs="Arial"/>
          <w:color w:val="000000" w:themeColor="text1"/>
        </w:rPr>
        <w:t>c</w:t>
      </w:r>
      <w:r w:rsidR="00054F3D">
        <w:rPr>
          <w:rFonts w:eastAsia="Times New Roman" w:cs="Arial"/>
          <w:color w:val="000000" w:themeColor="text1"/>
        </w:rPr>
        <w:t xml:space="preserve">ompulsory </w:t>
      </w:r>
      <w:r w:rsidR="000C1EAD">
        <w:rPr>
          <w:rFonts w:eastAsia="Times New Roman" w:cs="Arial"/>
          <w:color w:val="000000" w:themeColor="text1"/>
        </w:rPr>
        <w:t>i</w:t>
      </w:r>
      <w:r w:rsidR="00054F3D">
        <w:rPr>
          <w:rFonts w:eastAsia="Times New Roman" w:cs="Arial"/>
          <w:color w:val="000000" w:themeColor="text1"/>
        </w:rPr>
        <w:t xml:space="preserve">dentification, </w:t>
      </w:r>
      <w:r w:rsidR="00EF7595" w:rsidRPr="0C2E1696">
        <w:rPr>
          <w:rFonts w:eastAsia="Times New Roman" w:cs="Arial"/>
          <w:color w:val="000000" w:themeColor="text1"/>
        </w:rPr>
        <w:t xml:space="preserve">3. </w:t>
      </w:r>
      <w:r w:rsidR="00054F3D">
        <w:rPr>
          <w:rFonts w:eastAsia="Times New Roman" w:cs="Arial"/>
          <w:color w:val="000000" w:themeColor="text1"/>
        </w:rPr>
        <w:t xml:space="preserve">Security and </w:t>
      </w:r>
      <w:r w:rsidR="000C1EAD">
        <w:rPr>
          <w:rFonts w:eastAsia="Times New Roman" w:cs="Arial"/>
          <w:color w:val="000000" w:themeColor="text1"/>
        </w:rPr>
        <w:t>p</w:t>
      </w:r>
      <w:r w:rsidR="00054F3D">
        <w:rPr>
          <w:rFonts w:eastAsia="Times New Roman" w:cs="Arial"/>
          <w:color w:val="000000" w:themeColor="text1"/>
        </w:rPr>
        <w:t xml:space="preserve">rivacy </w:t>
      </w:r>
      <w:r w:rsidR="000C1EAD">
        <w:rPr>
          <w:rFonts w:eastAsia="Times New Roman" w:cs="Arial"/>
          <w:color w:val="000000" w:themeColor="text1"/>
        </w:rPr>
        <w:t>r</w:t>
      </w:r>
      <w:r w:rsidR="00054F3D">
        <w:rPr>
          <w:rFonts w:eastAsia="Times New Roman" w:cs="Arial"/>
          <w:color w:val="000000" w:themeColor="text1"/>
        </w:rPr>
        <w:t xml:space="preserve">ights </w:t>
      </w:r>
      <w:r w:rsidR="000C1EAD">
        <w:rPr>
          <w:rFonts w:eastAsia="Times New Roman" w:cs="Arial"/>
          <w:color w:val="000000" w:themeColor="text1"/>
        </w:rPr>
        <w:t>a</w:t>
      </w:r>
      <w:r w:rsidR="00054F3D">
        <w:rPr>
          <w:rFonts w:eastAsia="Times New Roman" w:cs="Arial"/>
          <w:color w:val="000000" w:themeColor="text1"/>
        </w:rPr>
        <w:t>ccess,</w:t>
      </w:r>
      <w:r w:rsidR="00EF7595" w:rsidRPr="0C2E1696">
        <w:rPr>
          <w:rFonts w:eastAsia="Times New Roman" w:cs="Arial"/>
          <w:color w:val="000000" w:themeColor="text1"/>
        </w:rPr>
        <w:t xml:space="preserve"> and 4. </w:t>
      </w:r>
      <w:r w:rsidR="00054F3D">
        <w:rPr>
          <w:rFonts w:eastAsia="Times New Roman" w:cs="Arial"/>
          <w:color w:val="000000" w:themeColor="text1"/>
        </w:rPr>
        <w:t xml:space="preserve">Security and </w:t>
      </w:r>
      <w:r w:rsidR="000C1EAD">
        <w:rPr>
          <w:rFonts w:eastAsia="Times New Roman" w:cs="Arial"/>
          <w:color w:val="000000" w:themeColor="text1"/>
        </w:rPr>
        <w:t>s</w:t>
      </w:r>
      <w:r w:rsidR="00054F3D">
        <w:rPr>
          <w:rFonts w:eastAsia="Times New Roman" w:cs="Arial"/>
          <w:color w:val="000000" w:themeColor="text1"/>
        </w:rPr>
        <w:t>overeignty</w:t>
      </w:r>
      <w:r w:rsidR="00EF7595" w:rsidRPr="0C2E1696">
        <w:rPr>
          <w:rFonts w:eastAsia="Times New Roman" w:cs="Arial"/>
          <w:color w:val="000000" w:themeColor="text1"/>
        </w:rPr>
        <w:t xml:space="preserve">. Together, they </w:t>
      </w:r>
      <w:r w:rsidR="00EF7595" w:rsidRPr="0C2E1696">
        <w:rPr>
          <w:rFonts w:cs="Arial"/>
          <w:color w:val="000000" w:themeColor="text1"/>
        </w:rPr>
        <w:t>capture</w:t>
      </w:r>
      <w:r w:rsidR="00EF7595" w:rsidRPr="0C2E1696">
        <w:rPr>
          <w:rFonts w:eastAsia="Times New Roman" w:cs="Arial"/>
          <w:color w:val="000000" w:themeColor="text1"/>
        </w:rPr>
        <w:t xml:space="preserve"> the state of operational capacity for transparency with respect </w:t>
      </w:r>
      <w:r w:rsidR="00EF7595" w:rsidRPr="0C2E1696">
        <w:rPr>
          <w:rFonts w:cs="Arial"/>
          <w:color w:val="000000" w:themeColor="text1"/>
        </w:rPr>
        <w:t>to</w:t>
      </w:r>
      <w:r w:rsidR="00EF7595" w:rsidRPr="0C2E1696">
        <w:rPr>
          <w:rFonts w:eastAsia="Times New Roman" w:cs="Arial"/>
          <w:color w:val="000000" w:themeColor="text1"/>
        </w:rPr>
        <w:t xml:space="preserve"> co</w:t>
      </w:r>
      <w:r w:rsidR="00EF7595" w:rsidRPr="0C2E1696">
        <w:rPr>
          <w:rFonts w:cs="Arial"/>
          <w:color w:val="000000" w:themeColor="text1"/>
        </w:rPr>
        <w:t xml:space="preserve">nformance and </w:t>
      </w:r>
      <w:r w:rsidR="00EF7595" w:rsidRPr="0C2E1696">
        <w:rPr>
          <w:rFonts w:eastAsia="Times New Roman" w:cs="Arial"/>
          <w:color w:val="000000" w:themeColor="text1"/>
        </w:rPr>
        <w:t xml:space="preserve">compliance. </w:t>
      </w:r>
    </w:p>
    <w:p w14:paraId="7115636D" w14:textId="77777777" w:rsidR="00EF7595" w:rsidRPr="00500DDC" w:rsidRDefault="00EF7595" w:rsidP="00EF7595">
      <w:pPr>
        <w:pBdr>
          <w:top w:val="nil"/>
          <w:left w:val="nil"/>
          <w:bottom w:val="nil"/>
          <w:right w:val="nil"/>
          <w:between w:val="nil"/>
        </w:pBdr>
        <w:rPr>
          <w:rFonts w:cs="Arial"/>
          <w:color w:val="000000" w:themeColor="text1"/>
          <w:szCs w:val="22"/>
        </w:rPr>
      </w:pPr>
    </w:p>
    <w:p w14:paraId="395EE13B" w14:textId="5C627BCE" w:rsidR="001E5347" w:rsidRPr="00E94567" w:rsidRDefault="00EF7595" w:rsidP="00E94567">
      <w:pPr>
        <w:pBdr>
          <w:top w:val="nil"/>
          <w:left w:val="nil"/>
          <w:bottom w:val="nil"/>
          <w:right w:val="nil"/>
          <w:between w:val="nil"/>
        </w:pBdr>
        <w:rPr>
          <w:rFonts w:cs="Arial"/>
          <w:color w:val="000000" w:themeColor="text1"/>
          <w:szCs w:val="22"/>
        </w:rPr>
      </w:pPr>
      <w:r w:rsidRPr="00500DDC">
        <w:rPr>
          <w:rFonts w:cs="Arial"/>
          <w:color w:val="000000" w:themeColor="text1"/>
          <w:szCs w:val="22"/>
        </w:rPr>
        <w:t>Legal t</w:t>
      </w:r>
      <w:r w:rsidRPr="00500DDC">
        <w:rPr>
          <w:rFonts w:eastAsia="Times New Roman" w:cs="Arial"/>
          <w:color w:val="000000" w:themeColor="text1"/>
          <w:szCs w:val="22"/>
        </w:rPr>
        <w:t xml:space="preserve">ransparency can be measured </w:t>
      </w:r>
      <w:r w:rsidRPr="00500DDC">
        <w:rPr>
          <w:rFonts w:cs="Arial"/>
          <w:color w:val="000000" w:themeColor="text1"/>
          <w:szCs w:val="22"/>
        </w:rPr>
        <w:t>against</w:t>
      </w:r>
      <w:r w:rsidRPr="00500DDC">
        <w:rPr>
          <w:rFonts w:eastAsia="Times New Roman" w:cs="Arial"/>
          <w:color w:val="000000" w:themeColor="text1"/>
          <w:szCs w:val="22"/>
        </w:rPr>
        <w:t xml:space="preserve"> </w:t>
      </w:r>
      <w:r w:rsidRPr="00500DDC">
        <w:rPr>
          <w:rFonts w:cs="Arial"/>
          <w:color w:val="000000" w:themeColor="text1"/>
          <w:szCs w:val="22"/>
        </w:rPr>
        <w:t>international</w:t>
      </w:r>
      <w:r w:rsidRPr="00500DDC">
        <w:rPr>
          <w:rFonts w:eastAsia="Times New Roman" w:cs="Arial"/>
          <w:color w:val="000000" w:themeColor="text1"/>
          <w:szCs w:val="22"/>
        </w:rPr>
        <w:t xml:space="preserve"> </w:t>
      </w:r>
      <w:r w:rsidRPr="00500DDC">
        <w:rPr>
          <w:rFonts w:cs="Arial"/>
          <w:color w:val="000000" w:themeColor="text1"/>
          <w:szCs w:val="22"/>
        </w:rPr>
        <w:t xml:space="preserve">Convention 108+ Privacy Treaty, utilizing the </w:t>
      </w:r>
      <w:r w:rsidRPr="00500DDC">
        <w:rPr>
          <w:rFonts w:eastAsia="Times New Roman" w:cs="Arial"/>
          <w:color w:val="000000" w:themeColor="text1"/>
          <w:szCs w:val="22"/>
        </w:rPr>
        <w:t>ISO/IEC JTC 1 WG 5 29100:2024 (</w:t>
      </w:r>
      <w:r w:rsidRPr="00500DDC">
        <w:rPr>
          <w:rFonts w:cs="Arial"/>
          <w:color w:val="000000" w:themeColor="text1"/>
          <w:szCs w:val="22"/>
        </w:rPr>
        <w:t>Information technology — Security techniques — Privacy framework) and associated standard to record the transparency modality by creating a PII controller record. A record which can measure the performance of legislated law and or practice against the international Treaty. Also referred to as the global privacy policy framework, Convention 108+. The controller record, along with ISO/IEC 29100:2024, is also interoperable with ISO/IEC 27001:2022 standard and framework. (Information security, cybersecurity and privacy protection — Information security management systems — Requirements)</w:t>
      </w:r>
      <w:r w:rsidR="00E94567" w:rsidRPr="00500DDC">
        <w:rPr>
          <w:rFonts w:cs="Arial"/>
          <w:color w:val="000000" w:themeColor="text1"/>
          <w:szCs w:val="22"/>
        </w:rPr>
        <w:t xml:space="preserve">. </w:t>
      </w:r>
      <w:r w:rsidRPr="00500DDC">
        <w:rPr>
          <w:rFonts w:cs="Arial"/>
          <w:color w:val="000000" w:themeColor="text1"/>
        </w:rPr>
        <w:t>The PII Controller identification and access record generated with this methodology has many</w:t>
      </w:r>
      <w:r w:rsidRPr="00E94567">
        <w:rPr>
          <w:rFonts w:cs="Arial"/>
          <w:color w:val="000000" w:themeColor="text1"/>
        </w:rPr>
        <w:t xml:space="preserve"> </w:t>
      </w:r>
      <w:r w:rsidR="32C3884C" w:rsidRPr="00E94567">
        <w:rPr>
          <w:rFonts w:cs="Arial"/>
          <w:color w:val="000000" w:themeColor="text1"/>
        </w:rPr>
        <w:lastRenderedPageBreak/>
        <w:t>applications and</w:t>
      </w:r>
      <w:r w:rsidRPr="00E94567">
        <w:rPr>
          <w:rFonts w:cs="Arial"/>
          <w:color w:val="000000" w:themeColor="text1"/>
        </w:rPr>
        <w:t xml:space="preserve"> can be used for security and privacy benchmarking, </w:t>
      </w:r>
      <w:r w:rsidR="00500DDC">
        <w:rPr>
          <w:rFonts w:cs="Arial"/>
          <w:color w:val="000000" w:themeColor="text1"/>
        </w:rPr>
        <w:t xml:space="preserve">as </w:t>
      </w:r>
      <w:r w:rsidRPr="00E94567">
        <w:rPr>
          <w:rFonts w:cs="Arial"/>
          <w:color w:val="000000" w:themeColor="text1"/>
        </w:rPr>
        <w:t xml:space="preserve">evidence, </w:t>
      </w:r>
      <w:r w:rsidR="00054F3D">
        <w:rPr>
          <w:rFonts w:cs="Arial"/>
          <w:color w:val="000000" w:themeColor="text1"/>
        </w:rPr>
        <w:t xml:space="preserve">for </w:t>
      </w:r>
      <w:r w:rsidRPr="00E94567">
        <w:rPr>
          <w:rFonts w:cs="Arial"/>
          <w:color w:val="000000" w:themeColor="text1"/>
        </w:rPr>
        <w:t>conformance,</w:t>
      </w:r>
      <w:r w:rsidR="00054F3D">
        <w:rPr>
          <w:rFonts w:cs="Arial"/>
          <w:color w:val="000000" w:themeColor="text1"/>
        </w:rPr>
        <w:t xml:space="preserve"> in</w:t>
      </w:r>
      <w:r w:rsidRPr="00E94567">
        <w:rPr>
          <w:rFonts w:cs="Arial"/>
          <w:color w:val="000000" w:themeColor="text1"/>
        </w:rPr>
        <w:t xml:space="preserve"> auditing compliance</w:t>
      </w:r>
      <w:r w:rsidR="001056EF">
        <w:rPr>
          <w:rFonts w:cs="Arial"/>
          <w:color w:val="000000" w:themeColor="text1"/>
        </w:rPr>
        <w:t>,</w:t>
      </w:r>
      <w:r w:rsidRPr="00E94567">
        <w:rPr>
          <w:rFonts w:cs="Arial"/>
          <w:color w:val="000000" w:themeColor="text1"/>
        </w:rPr>
        <w:t xml:space="preserve"> and </w:t>
      </w:r>
      <w:r w:rsidR="00054F3D">
        <w:rPr>
          <w:rFonts w:cs="Arial"/>
          <w:color w:val="000000" w:themeColor="text1"/>
        </w:rPr>
        <w:t xml:space="preserve">for </w:t>
      </w:r>
      <w:r w:rsidRPr="00E94567">
        <w:rPr>
          <w:rFonts w:cs="Arial"/>
          <w:color w:val="000000" w:themeColor="text1"/>
        </w:rPr>
        <w:t xml:space="preserve">transparency </w:t>
      </w:r>
      <w:r w:rsidR="193B755D" w:rsidRPr="00E94567">
        <w:rPr>
          <w:rFonts w:cs="Arial"/>
          <w:color w:val="000000" w:themeColor="text1"/>
        </w:rPr>
        <w:t>signaling</w:t>
      </w:r>
      <w:r w:rsidRPr="0C2E1696">
        <w:rPr>
          <w:rFonts w:cs="Arial"/>
          <w:color w:val="000000" w:themeColor="text1"/>
        </w:rPr>
        <w:t>.</w:t>
      </w:r>
    </w:p>
    <w:p w14:paraId="2BDD33A9" w14:textId="77777777" w:rsidR="00EF7595" w:rsidRDefault="00EF7595">
      <w:pPr>
        <w:rPr>
          <w:rFonts w:eastAsiaTheme="majorEastAsia" w:cstheme="majorBidi"/>
          <w:b/>
          <w:color w:val="000000" w:themeColor="text1"/>
          <w:sz w:val="32"/>
          <w:szCs w:val="32"/>
        </w:rPr>
      </w:pPr>
      <w:r>
        <w:br w:type="page"/>
      </w:r>
    </w:p>
    <w:p w14:paraId="7EB371BF" w14:textId="77777777" w:rsidR="00EF7595" w:rsidRDefault="00EF7595" w:rsidP="0087111F">
      <w:pPr>
        <w:pStyle w:val="Heading1"/>
        <w:spacing w:line="240" w:lineRule="auto"/>
      </w:pPr>
      <w:bookmarkStart w:id="2" w:name="_Toc193376350"/>
      <w:r w:rsidRPr="00E94567">
        <w:lastRenderedPageBreak/>
        <w:t>3. Normative References</w:t>
      </w:r>
      <w:bookmarkEnd w:id="2"/>
    </w:p>
    <w:bookmarkStart w:id="3" w:name="_Toc193376351"/>
    <w:p w14:paraId="5A8EE506" w14:textId="602FAF88" w:rsidR="00945662" w:rsidRPr="00945662" w:rsidRDefault="00E94567" w:rsidP="001056EF">
      <w:pPr>
        <w:pStyle w:val="Heading2"/>
      </w:pPr>
      <w:r>
        <w:rPr>
          <w:noProof/>
        </w:rPr>
        <mc:AlternateContent>
          <mc:Choice Requires="wps">
            <w:drawing>
              <wp:anchor distT="0" distB="0" distL="114300" distR="114300" simplePos="0" relativeHeight="251679744" behindDoc="0" locked="0" layoutInCell="1" allowOverlap="1" wp14:anchorId="70A09EB7" wp14:editId="5CF5CA4A">
                <wp:simplePos x="0" y="0"/>
                <wp:positionH relativeFrom="column">
                  <wp:posOffset>0</wp:posOffset>
                </wp:positionH>
                <wp:positionV relativeFrom="paragraph">
                  <wp:posOffset>-635</wp:posOffset>
                </wp:positionV>
                <wp:extent cx="5943600" cy="0"/>
                <wp:effectExtent l="0" t="0" r="12700" b="12700"/>
                <wp:wrapNone/>
                <wp:docPr id="589357022"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3AC5F"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" strokecolor="black [3213]" strokeweight=".5pt">
                <v:stroke joinstyle="miter"/>
              </v:line>
            </w:pict>
          </mc:Fallback>
        </mc:AlternateContent>
      </w:r>
      <w:r w:rsidR="00945662">
        <w:t>3</w:t>
      </w:r>
      <w:r w:rsidR="001E5347">
        <w:t xml:space="preserve">.1 </w:t>
      </w:r>
      <w:hyperlink r:id="rId16">
        <w:r w:rsidR="00945662" w:rsidRPr="0C2E1696">
          <w:rPr>
            <w:rStyle w:val="Hyperlink"/>
          </w:rPr>
          <w:t>Convention 108+</w:t>
        </w:r>
      </w:hyperlink>
      <w:r w:rsidR="00945662">
        <w:t xml:space="preserve"> </w:t>
      </w:r>
      <w:r w:rsidR="0001466E">
        <w:t xml:space="preserve">Convention for the </w:t>
      </w:r>
      <w:r w:rsidR="007307C0">
        <w:t>P</w:t>
      </w:r>
      <w:r w:rsidR="0001466E">
        <w:t xml:space="preserve">rotection of </w:t>
      </w:r>
      <w:r w:rsidR="007307C0">
        <w:t>I</w:t>
      </w:r>
      <w:r w:rsidR="0351E28D">
        <w:t>ndividuals with</w:t>
      </w:r>
      <w:r w:rsidR="0001466E">
        <w:t xml:space="preserve"> </w:t>
      </w:r>
      <w:r w:rsidR="007307C0">
        <w:t>R</w:t>
      </w:r>
      <w:r w:rsidR="0001466E">
        <w:t xml:space="preserve">egard to the </w:t>
      </w:r>
      <w:r w:rsidR="007307C0">
        <w:t>P</w:t>
      </w:r>
      <w:r w:rsidR="6CF9F113">
        <w:t>rocessing of</w:t>
      </w:r>
      <w:r w:rsidR="0001466E">
        <w:t xml:space="preserve"> </w:t>
      </w:r>
      <w:r w:rsidR="007307C0">
        <w:t>P</w:t>
      </w:r>
      <w:r w:rsidR="0001466E">
        <w:t xml:space="preserve">ersonal </w:t>
      </w:r>
      <w:r w:rsidR="007307C0">
        <w:t>D</w:t>
      </w:r>
      <w:r w:rsidR="0001466E">
        <w:t>ata</w:t>
      </w:r>
      <w:bookmarkEnd w:id="3"/>
    </w:p>
    <w:p w14:paraId="541B0C6C" w14:textId="217E34D7" w:rsidR="00945662" w:rsidRPr="001056EF" w:rsidRDefault="00945662" w:rsidP="001056EF">
      <w:pPr>
        <w:numPr>
          <w:ilvl w:val="0"/>
          <w:numId w:val="6"/>
        </w:numPr>
        <w:spacing w:line="240" w:lineRule="auto"/>
        <w:rPr>
          <w:szCs w:val="22"/>
        </w:rPr>
      </w:pPr>
      <w:r w:rsidRPr="001056EF">
        <w:rPr>
          <w:szCs w:val="22"/>
        </w:rPr>
        <w:t xml:space="preserve">Council of Europe, Convention 108+, an international treaty expected to be fully ratified in 2025, provides a formal global security and privacy framework.   </w:t>
      </w:r>
    </w:p>
    <w:p w14:paraId="2CB862FA" w14:textId="51B79258" w:rsidR="00945662" w:rsidRPr="001056EF" w:rsidRDefault="69DF5F89" w:rsidP="001056EF">
      <w:pPr>
        <w:numPr>
          <w:ilvl w:val="0"/>
          <w:numId w:val="6"/>
        </w:numPr>
        <w:spacing w:line="240" w:lineRule="auto"/>
        <w:rPr>
          <w:szCs w:val="22"/>
        </w:rPr>
      </w:pPr>
      <w:r w:rsidRPr="001056EF">
        <w:rPr>
          <w:szCs w:val="22"/>
        </w:rPr>
        <w:t>It provides the standard instructions and requirements for the signatory countries to implement adequate interoperable privacy law and/or privacy law.</w:t>
      </w:r>
      <w:r w:rsidR="00945662" w:rsidRPr="001056EF">
        <w:rPr>
          <w:szCs w:val="22"/>
        </w:rPr>
        <w:t xml:space="preserve"> </w:t>
      </w:r>
    </w:p>
    <w:p w14:paraId="38B9DF32" w14:textId="4D09B5E5" w:rsidR="00945662" w:rsidRPr="001056EF" w:rsidRDefault="00945662" w:rsidP="001056EF">
      <w:pPr>
        <w:numPr>
          <w:ilvl w:val="0"/>
          <w:numId w:val="6"/>
        </w:numPr>
        <w:spacing w:line="240" w:lineRule="auto"/>
        <w:rPr>
          <w:szCs w:val="22"/>
        </w:rPr>
      </w:pPr>
      <w:r w:rsidRPr="001056EF">
        <w:rPr>
          <w:szCs w:val="22"/>
        </w:rPr>
        <w:t>The treaty, in particular transparency of processing, and notification requirements, guides and provides the logic of the performance report and its measures as referenced in the appendix</w:t>
      </w:r>
      <w:r w:rsidR="001056EF" w:rsidRPr="001056EF">
        <w:rPr>
          <w:szCs w:val="22"/>
        </w:rPr>
        <w:t>.</w:t>
      </w:r>
    </w:p>
    <w:p w14:paraId="7B8E5C3B" w14:textId="23F6C0B4" w:rsidR="00945662" w:rsidRPr="001056EF" w:rsidRDefault="00945662" w:rsidP="001056EF">
      <w:pPr>
        <w:numPr>
          <w:ilvl w:val="0"/>
          <w:numId w:val="6"/>
        </w:numPr>
        <w:spacing w:line="240" w:lineRule="auto"/>
        <w:rPr>
          <w:szCs w:val="22"/>
        </w:rPr>
      </w:pPr>
      <w:r w:rsidRPr="001056EF">
        <w:rPr>
          <w:szCs w:val="22"/>
        </w:rPr>
        <w:t xml:space="preserve"> It provides </w:t>
      </w:r>
      <w:r w:rsidR="666C07D8" w:rsidRPr="001056EF">
        <w:rPr>
          <w:szCs w:val="22"/>
        </w:rPr>
        <w:t>an</w:t>
      </w:r>
      <w:r w:rsidRPr="001056EF">
        <w:rPr>
          <w:szCs w:val="22"/>
        </w:rPr>
        <w:t xml:space="preserve"> international measure of common legal best practice.</w:t>
      </w:r>
    </w:p>
    <w:p w14:paraId="09D42798" w14:textId="70D05A97" w:rsidR="00945662" w:rsidRDefault="00945662" w:rsidP="00945662">
      <w:pPr>
        <w:pStyle w:val="Heading2"/>
      </w:pPr>
      <w:bookmarkStart w:id="4" w:name="_Toc193376352"/>
      <w:r>
        <w:t xml:space="preserve">3.2 </w:t>
      </w:r>
      <w:hyperlink>
        <w:r w:rsidRPr="0C2E1696">
          <w:rPr>
            <w:rStyle w:val="Hyperlink"/>
          </w:rPr>
          <w:t>ISO/IEC 29100:2024</w:t>
        </w:r>
      </w:hyperlink>
      <w:r>
        <w:t xml:space="preserve"> Security and </w:t>
      </w:r>
      <w:r w:rsidR="007307C0">
        <w:t>P</w:t>
      </w:r>
      <w:r>
        <w:t xml:space="preserve">rivacy </w:t>
      </w:r>
      <w:r w:rsidR="007307C0">
        <w:t>T</w:t>
      </w:r>
      <w:r>
        <w:t>echnique</w:t>
      </w:r>
      <w:bookmarkEnd w:id="4"/>
    </w:p>
    <w:p w14:paraId="2D672E7A" w14:textId="34A1DE6D" w:rsidR="00945662" w:rsidRDefault="00945662" w:rsidP="00945662">
      <w:r>
        <w:t xml:space="preserve">This standard is open and free to access </w:t>
      </w:r>
      <w:r>
        <w:rPr>
          <w:color w:val="141413"/>
          <w:sz w:val="17"/>
          <w:szCs w:val="17"/>
        </w:rPr>
        <w:t>“</w:t>
      </w:r>
      <w:r>
        <w:t>relates to PII in all ICT environments, specifying a common privacy terminology; defining the actors and their roles in processing PII; describing privacy safeguarding requirements; and referencing known privacy principles</w:t>
      </w:r>
      <w:r w:rsidR="00054F3D">
        <w:t>:</w:t>
      </w:r>
    </w:p>
    <w:p w14:paraId="6A6EB9D0" w14:textId="445B732D" w:rsidR="00945662" w:rsidRDefault="00945662" w:rsidP="001056EF">
      <w:pPr>
        <w:numPr>
          <w:ilvl w:val="0"/>
          <w:numId w:val="7"/>
        </w:numPr>
        <w:spacing w:line="240" w:lineRule="auto"/>
      </w:pPr>
      <w:r>
        <w:t>Actors and roles</w:t>
      </w:r>
    </w:p>
    <w:p w14:paraId="34DB42F2" w14:textId="7C9E80F4" w:rsidR="00945662" w:rsidRDefault="00945662" w:rsidP="001056EF">
      <w:pPr>
        <w:numPr>
          <w:ilvl w:val="0"/>
          <w:numId w:val="7"/>
        </w:numPr>
        <w:spacing w:line="240" w:lineRule="auto"/>
      </w:pPr>
      <w:r>
        <w:t>Interactions</w:t>
      </w:r>
    </w:p>
    <w:p w14:paraId="5AA40458" w14:textId="6706B80C" w:rsidR="00945662" w:rsidRDefault="00945662" w:rsidP="001056EF">
      <w:pPr>
        <w:numPr>
          <w:ilvl w:val="0"/>
          <w:numId w:val="7"/>
        </w:numPr>
        <w:spacing w:line="240" w:lineRule="auto"/>
      </w:pPr>
      <w:r>
        <w:t>Recognizing PII</w:t>
      </w:r>
    </w:p>
    <w:p w14:paraId="61479A47" w14:textId="78464485" w:rsidR="00945662" w:rsidRDefault="00945662" w:rsidP="001056EF">
      <w:pPr>
        <w:numPr>
          <w:ilvl w:val="0"/>
          <w:numId w:val="7"/>
        </w:numPr>
        <w:spacing w:line="240" w:lineRule="auto"/>
      </w:pPr>
      <w:r>
        <w:t>Privacy safeguarding requirements</w:t>
      </w:r>
    </w:p>
    <w:p w14:paraId="12F68EBB" w14:textId="69BF933B" w:rsidR="00945662" w:rsidRDefault="00945662" w:rsidP="001056EF">
      <w:pPr>
        <w:numPr>
          <w:ilvl w:val="0"/>
          <w:numId w:val="7"/>
        </w:numPr>
        <w:spacing w:line="240" w:lineRule="auto"/>
      </w:pPr>
      <w:r>
        <w:t>Privacy policies</w:t>
      </w:r>
    </w:p>
    <w:p w14:paraId="17CE55DB" w14:textId="32CAE61C" w:rsidR="00945662" w:rsidRDefault="00945662" w:rsidP="001056EF">
      <w:pPr>
        <w:numPr>
          <w:ilvl w:val="0"/>
          <w:numId w:val="7"/>
        </w:numPr>
        <w:spacing w:line="240" w:lineRule="auto"/>
      </w:pPr>
      <w:r>
        <w:t xml:space="preserve">﻿Privacy </w:t>
      </w:r>
      <w:r w:rsidR="00813430">
        <w:t>controls</w:t>
      </w:r>
      <w:r>
        <w:t>.</w:t>
      </w:r>
      <w:r w:rsidR="00054F3D">
        <w:t xml:space="preserve"> </w:t>
      </w:r>
    </w:p>
    <w:p w14:paraId="742C816E" w14:textId="52B1B4E9" w:rsidR="00945662" w:rsidRDefault="00945662" w:rsidP="001056EF">
      <w:pPr>
        <w:numPr>
          <w:ilvl w:val="0"/>
          <w:numId w:val="7"/>
        </w:numPr>
        <w:spacing w:line="240" w:lineRule="auto"/>
      </w:pPr>
      <w:r>
        <w:t>Source bibliography</w:t>
      </w:r>
    </w:p>
    <w:p w14:paraId="5385C707" w14:textId="75FD8985" w:rsidR="00945662" w:rsidRPr="00945662" w:rsidRDefault="00945662" w:rsidP="00945662">
      <w:pPr>
        <w:pStyle w:val="Heading2"/>
      </w:pPr>
      <w:bookmarkStart w:id="5" w:name="_Toc193376353"/>
      <w:r w:rsidRPr="00945662">
        <w:t xml:space="preserve">3.3 Kantara </w:t>
      </w:r>
      <w:r w:rsidR="0001466E" w:rsidRPr="00945662">
        <w:t>Initiative, Minimum</w:t>
      </w:r>
      <w:r w:rsidRPr="00945662">
        <w:t xml:space="preserve"> Viable Consent Receipt, &amp; </w:t>
      </w:r>
      <w:hyperlink r:id="rId17" w:history="1">
        <w:r w:rsidRPr="0001466E">
          <w:rPr>
            <w:rStyle w:val="Hyperlink"/>
          </w:rPr>
          <w:t xml:space="preserve">Consent Receipt </w:t>
        </w:r>
        <w:r w:rsidR="0001466E" w:rsidRPr="0001466E">
          <w:rPr>
            <w:rStyle w:val="Hyperlink"/>
          </w:rPr>
          <w:t>Specification</w:t>
        </w:r>
        <w:bookmarkEnd w:id="5"/>
      </w:hyperlink>
    </w:p>
    <w:p w14:paraId="093BA002" w14:textId="6EF1E888" w:rsidR="00945662" w:rsidRDefault="00945662" w:rsidP="00945662">
      <w:r>
        <w:t xml:space="preserve">(published in </w:t>
      </w:r>
      <w:hyperlink r:id="rId18" w:history="1">
        <w:r w:rsidRPr="0001466E">
          <w:rPr>
            <w:rStyle w:val="Hyperlink"/>
          </w:rPr>
          <w:t>ISO/IEC 29184:2020</w:t>
        </w:r>
      </w:hyperlink>
      <w:r>
        <w:t xml:space="preserve"> Online privacy notice and consent appendix b) - providing a common transparency schema used to make the report. </w:t>
      </w:r>
    </w:p>
    <w:p w14:paraId="4F762F43" w14:textId="77777777" w:rsidR="00945662" w:rsidRDefault="00945662" w:rsidP="00945662"/>
    <w:p w14:paraId="04000292" w14:textId="3D967BA7" w:rsidR="00945662" w:rsidRDefault="0001466E" w:rsidP="00945662">
      <w:r>
        <w:t>Previously p</w:t>
      </w:r>
      <w:r w:rsidR="00945662">
        <w:t xml:space="preserve">resented in support of Canadian meaningful consent regulation in 2017. </w:t>
      </w:r>
      <w:hyperlink r:id="rId19">
        <w:r w:rsidR="00945662">
          <w:rPr>
            <w:color w:val="1155CC"/>
            <w:u w:val="single"/>
          </w:rPr>
          <w:t>https://www.priv.gc.ca/en/about-the-opc/what-we-do/consultations/completed-consultations/consultation-on-online-reputation/submissions-received-for-the-consultation-on-online-reputation/or/sub_or_15/</w:t>
        </w:r>
      </w:hyperlink>
    </w:p>
    <w:p w14:paraId="41A5A14D" w14:textId="77777777" w:rsidR="00EF7595" w:rsidRDefault="00EF7595">
      <w:r>
        <w:br w:type="page"/>
      </w:r>
    </w:p>
    <w:p w14:paraId="729E9A42" w14:textId="096956CD" w:rsidR="00EF7595" w:rsidRPr="001056EF" w:rsidRDefault="00945662" w:rsidP="001056EF">
      <w:pPr>
        <w:pStyle w:val="Heading1"/>
        <w:spacing w:line="240" w:lineRule="auto"/>
      </w:pPr>
      <w:bookmarkStart w:id="6" w:name="_Toc193376354"/>
      <w:r w:rsidRPr="001056EF">
        <w:lastRenderedPageBreak/>
        <w:t>4</w:t>
      </w:r>
      <w:r w:rsidR="00EF7595" w:rsidRPr="001056EF">
        <w:t xml:space="preserve">. </w:t>
      </w:r>
      <w:r w:rsidRPr="001056EF">
        <w:t>Terms &amp; Definitions</w:t>
      </w:r>
      <w:bookmarkEnd w:id="6"/>
      <w:r w:rsidRPr="001056EF">
        <w:t xml:space="preserve"> </w:t>
      </w:r>
    </w:p>
    <w:p w14:paraId="02B5CFE7" w14:textId="77777777" w:rsidR="001056EF" w:rsidRDefault="00EF7595" w:rsidP="001056EF">
      <w:pPr>
        <w:rPr>
          <w:szCs w:val="22"/>
        </w:rPr>
      </w:pPr>
      <w:r>
        <w:rPr>
          <w:noProof/>
          <w:color w:val="000000" w:themeColor="text1"/>
        </w:rPr>
        <mc:AlternateContent>
          <mc:Choice Requires="wps">
            <w:drawing>
              <wp:anchor distT="0" distB="0" distL="114300" distR="114300" simplePos="0" relativeHeight="251665408" behindDoc="0" locked="0" layoutInCell="1" allowOverlap="1" wp14:anchorId="5FC552D5" wp14:editId="30079CB5">
                <wp:simplePos x="0" y="0"/>
                <wp:positionH relativeFrom="column">
                  <wp:posOffset>-59690</wp:posOffset>
                </wp:positionH>
                <wp:positionV relativeFrom="paragraph">
                  <wp:posOffset>50343</wp:posOffset>
                </wp:positionV>
                <wp:extent cx="5943600" cy="0"/>
                <wp:effectExtent l="0" t="0" r="12700" b="12700"/>
                <wp:wrapNone/>
                <wp:docPr id="1844015977"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7CD92D">
              <v:line id="Straight Connector 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7pt,3.95pt" to="463.3pt,3.95pt" w14:anchorId="27121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">
                <v:stroke joinstyle="miter"/>
              </v:line>
            </w:pict>
          </mc:Fallback>
        </mc:AlternateContent>
      </w:r>
    </w:p>
    <w:p w14:paraId="3D2A9860" w14:textId="683CD917" w:rsidR="00916897" w:rsidRPr="00146F61" w:rsidRDefault="00146F61" w:rsidP="0077177B">
      <w:bookmarkStart w:id="7" w:name="_m1167pbxh1ny" w:colFirst="0" w:colLast="0"/>
      <w:bookmarkEnd w:id="7"/>
      <w:r>
        <w:t xml:space="preserve">The terms and their definitions used in this document adopt the terminology of the normative references. The following terms </w:t>
      </w:r>
      <w:r w:rsidR="009A7042">
        <w:t>are</w:t>
      </w:r>
      <w:r>
        <w:t xml:space="preserve"> introduced here.</w:t>
      </w:r>
    </w:p>
    <w:p w14:paraId="2A6BC721" w14:textId="56C56AA8" w:rsidR="00635115" w:rsidRDefault="00146F61" w:rsidP="00916897">
      <w:pPr>
        <w:pStyle w:val="Heading3"/>
      </w:pPr>
      <w:bookmarkStart w:id="8" w:name="_4jacqakk04md" w:colFirst="0" w:colLast="0"/>
      <w:bookmarkEnd w:id="8"/>
      <w:r>
        <w:t xml:space="preserve">PII </w:t>
      </w:r>
      <w:r w:rsidR="00635115">
        <w:t>Controller Identification</w:t>
      </w:r>
      <w:r w:rsidR="001F27DA">
        <w:t xml:space="preserve"> record notice</w:t>
      </w:r>
    </w:p>
    <w:p w14:paraId="34B57658" w14:textId="45670CAA" w:rsidR="00D64F6B" w:rsidRPr="00D64F6B" w:rsidRDefault="00D64F6B" w:rsidP="001056EF">
      <w:r w:rsidRPr="00D64F6B">
        <w:t xml:space="preserve">The record generated </w:t>
      </w:r>
      <w:proofErr w:type="gramStart"/>
      <w:r w:rsidRPr="00D64F6B">
        <w:t>so as to</w:t>
      </w:r>
      <w:proofErr w:type="gramEnd"/>
      <w:r w:rsidRPr="00D64F6B">
        <w:t xml:space="preserve"> provide proof of notice. The minimum Controller identification and access field and attributes, required to generate a record for proof </w:t>
      </w:r>
      <w:proofErr w:type="gramStart"/>
      <w:r w:rsidRPr="00D64F6B">
        <w:t xml:space="preserve">of  </w:t>
      </w:r>
      <w:proofErr w:type="spellStart"/>
      <w:r w:rsidRPr="00D64F6B">
        <w:t>otice</w:t>
      </w:r>
      <w:proofErr w:type="spellEnd"/>
      <w:proofErr w:type="gramEnd"/>
      <w:r w:rsidRPr="00D64F6B">
        <w:t xml:space="preserve"> and digital evidence of consent. </w:t>
      </w:r>
      <w:r w:rsidR="00977EE3">
        <w:br/>
      </w:r>
      <w:proofErr w:type="spellStart"/>
      <w:r w:rsidR="006F06B3">
        <w:rPr>
          <w:i/>
          <w:iCs/>
          <w:sz w:val="18"/>
          <w:szCs w:val="18"/>
        </w:rPr>
        <w:t>Editors</w:t>
      </w:r>
      <w:proofErr w:type="spellEnd"/>
      <w:r w:rsidR="006F06B3">
        <w:rPr>
          <w:i/>
          <w:iCs/>
          <w:sz w:val="18"/>
          <w:szCs w:val="18"/>
        </w:rPr>
        <w:t xml:space="preserve"> </w:t>
      </w:r>
      <w:r w:rsidR="00977EE3" w:rsidRPr="006F06B3">
        <w:rPr>
          <w:i/>
          <w:iCs/>
          <w:sz w:val="18"/>
          <w:szCs w:val="18"/>
        </w:rPr>
        <w:t xml:space="preserve">Note: </w:t>
      </w:r>
      <w:r w:rsidRPr="006F06B3">
        <w:rPr>
          <w:i/>
          <w:iCs/>
          <w:sz w:val="18"/>
          <w:szCs w:val="18"/>
        </w:rPr>
        <w:t>In the context of the GDPR, this</w:t>
      </w:r>
      <w:r w:rsidR="006F06B3">
        <w:rPr>
          <w:i/>
          <w:iCs/>
          <w:sz w:val="18"/>
          <w:szCs w:val="18"/>
        </w:rPr>
        <w:t xml:space="preserve"> is Data Controller</w:t>
      </w:r>
      <w:r w:rsidRPr="006F06B3">
        <w:rPr>
          <w:i/>
          <w:iCs/>
          <w:sz w:val="18"/>
          <w:szCs w:val="18"/>
        </w:rPr>
        <w:t xml:space="preserve"> </w:t>
      </w:r>
      <w:r w:rsidR="00977EE3" w:rsidRPr="006F06B3">
        <w:rPr>
          <w:i/>
          <w:iCs/>
          <w:sz w:val="18"/>
          <w:szCs w:val="18"/>
        </w:rPr>
        <w:t xml:space="preserve">identification record used </w:t>
      </w:r>
      <w:r w:rsidR="006F06B3">
        <w:rPr>
          <w:i/>
          <w:iCs/>
          <w:sz w:val="18"/>
          <w:szCs w:val="18"/>
        </w:rPr>
        <w:t>as a credential, to</w:t>
      </w:r>
      <w:r w:rsidR="00977EE3" w:rsidRPr="006F06B3">
        <w:rPr>
          <w:i/>
          <w:iCs/>
          <w:sz w:val="18"/>
          <w:szCs w:val="18"/>
        </w:rPr>
        <w:t xml:space="preserve"> generate a r</w:t>
      </w:r>
      <w:r w:rsidR="006F06B3">
        <w:rPr>
          <w:i/>
          <w:iCs/>
          <w:sz w:val="18"/>
          <w:szCs w:val="18"/>
        </w:rPr>
        <w:t xml:space="preserve"> generic Record of Controller Notice Activity</w:t>
      </w:r>
      <w:r w:rsidR="00977EE3" w:rsidRPr="006F06B3">
        <w:rPr>
          <w:i/>
          <w:iCs/>
          <w:sz w:val="18"/>
          <w:szCs w:val="18"/>
        </w:rPr>
        <w:t xml:space="preserve"> </w:t>
      </w:r>
      <w:proofErr w:type="gramStart"/>
      <w:r w:rsidR="006F06B3">
        <w:rPr>
          <w:i/>
          <w:iCs/>
          <w:sz w:val="18"/>
          <w:szCs w:val="18"/>
        </w:rPr>
        <w:t xml:space="preserve">or </w:t>
      </w:r>
      <w:r w:rsidR="00977EE3" w:rsidRPr="006F06B3">
        <w:rPr>
          <w:i/>
          <w:iCs/>
          <w:sz w:val="18"/>
          <w:szCs w:val="18"/>
        </w:rPr>
        <w:t xml:space="preserve"> notice</w:t>
      </w:r>
      <w:proofErr w:type="gramEnd"/>
      <w:r w:rsidR="006F06B3">
        <w:rPr>
          <w:i/>
          <w:iCs/>
          <w:sz w:val="18"/>
          <w:szCs w:val="18"/>
        </w:rPr>
        <w:t xml:space="preserve"> and consent</w:t>
      </w:r>
      <w:r w:rsidR="00977EE3" w:rsidRPr="006F06B3">
        <w:rPr>
          <w:i/>
          <w:iCs/>
          <w:sz w:val="18"/>
          <w:szCs w:val="18"/>
        </w:rPr>
        <w:t xml:space="preserve"> receipt</w:t>
      </w:r>
      <w:r w:rsidR="006F06B3">
        <w:rPr>
          <w:i/>
          <w:iCs/>
          <w:sz w:val="18"/>
          <w:szCs w:val="18"/>
        </w:rPr>
        <w:t xml:space="preserve"> (i</w:t>
      </w:r>
      <w:r w:rsidR="00977EE3" w:rsidRPr="006F06B3">
        <w:rPr>
          <w:i/>
          <w:iCs/>
          <w:sz w:val="18"/>
          <w:szCs w:val="18"/>
        </w:rPr>
        <w:t xml:space="preserve">n the </w:t>
      </w:r>
      <w:r w:rsidR="00916897" w:rsidRPr="006F06B3">
        <w:rPr>
          <w:i/>
          <w:iCs/>
          <w:sz w:val="18"/>
          <w:szCs w:val="18"/>
        </w:rPr>
        <w:t xml:space="preserve">ANCR </w:t>
      </w:r>
      <w:r w:rsidR="00977EE3" w:rsidRPr="006F06B3">
        <w:rPr>
          <w:i/>
          <w:iCs/>
          <w:sz w:val="18"/>
          <w:szCs w:val="18"/>
        </w:rPr>
        <w:t>WG</w:t>
      </w:r>
    </w:p>
    <w:p w14:paraId="0597EA64" w14:textId="77777777" w:rsidR="00531E25" w:rsidRPr="00531E25" w:rsidRDefault="00531E25" w:rsidP="00916897">
      <w:pPr>
        <w:rPr>
          <w:b/>
          <w:bCs/>
        </w:rPr>
      </w:pPr>
    </w:p>
    <w:p w14:paraId="1C7491D9" w14:textId="7ED44791" w:rsidR="00531E25" w:rsidRDefault="00531E25" w:rsidP="001056EF">
      <w:pPr>
        <w:rPr>
          <w:b/>
          <w:bCs/>
        </w:rPr>
      </w:pPr>
      <w:r w:rsidRPr="00916897">
        <w:rPr>
          <w:rStyle w:val="Heading3Char"/>
        </w:rPr>
        <w:t>PII Controller Identification</w:t>
      </w:r>
      <w:r w:rsidR="00D64F6B" w:rsidRPr="00916897">
        <w:rPr>
          <w:rStyle w:val="Heading3Char"/>
        </w:rPr>
        <w:t xml:space="preserve"> record notice Information</w:t>
      </w:r>
      <w:r w:rsidRPr="00916897">
        <w:rPr>
          <w:rStyle w:val="Heading3Char"/>
        </w:rPr>
        <w:br/>
      </w:r>
      <w:r w:rsidRPr="00916897">
        <w:t xml:space="preserve">The </w:t>
      </w:r>
      <w:r w:rsidR="00D64F6B" w:rsidRPr="00916897">
        <w:t xml:space="preserve">compulsory Controller identification information, is\ required to be presented prior to </w:t>
      </w:r>
      <w:r w:rsidRPr="00916897">
        <w:t>process</w:t>
      </w:r>
      <w:r w:rsidR="00D64F6B" w:rsidRPr="00916897">
        <w:t>ing</w:t>
      </w:r>
      <w:r w:rsidRPr="00916897">
        <w:t xml:space="preserve"> of </w:t>
      </w:r>
      <w:r w:rsidR="00D64F6B" w:rsidRPr="00916897">
        <w:t xml:space="preserve">any </w:t>
      </w:r>
      <w:r w:rsidRPr="00916897">
        <w:t>Personally Identifiable Information (PII) physical address, contact information, and a privacy</w:t>
      </w:r>
      <w:r w:rsidR="00D64F6B" w:rsidRPr="00916897">
        <w:t xml:space="preserve"> rights</w:t>
      </w:r>
      <w:r w:rsidRPr="00916897">
        <w:t xml:space="preserve"> access point, </w:t>
      </w:r>
      <w:proofErr w:type="gramStart"/>
      <w:r w:rsidRPr="00916897">
        <w:t>in order to</w:t>
      </w:r>
      <w:proofErr w:type="gramEnd"/>
      <w:r w:rsidRPr="00916897">
        <w:t xml:space="preserve"> ensure transparency regarding the applicable policy jurisdiction and the legal authority governing the processing of personal data.</w:t>
      </w:r>
    </w:p>
    <w:p w14:paraId="5ECDBC7A" w14:textId="77777777" w:rsidR="003F55E1" w:rsidRDefault="003F55E1" w:rsidP="003F55E1">
      <w:pPr>
        <w:rPr>
          <w:b/>
          <w:bCs/>
        </w:rPr>
      </w:pPr>
    </w:p>
    <w:p w14:paraId="1FC5F4CA" w14:textId="3B69F689" w:rsidR="00635115" w:rsidRDefault="00146F61" w:rsidP="00916897">
      <w:pPr>
        <w:pStyle w:val="Heading3"/>
      </w:pPr>
      <w:r>
        <w:t xml:space="preserve">PII </w:t>
      </w:r>
      <w:r w:rsidR="00635115">
        <w:t>Controller Identification Record</w:t>
      </w:r>
    </w:p>
    <w:p w14:paraId="3205D6FA" w14:textId="76C3586F" w:rsidR="003F55E1" w:rsidRDefault="0077177B" w:rsidP="001056EF">
      <w:r>
        <w:t xml:space="preserve">A </w:t>
      </w:r>
      <w:r w:rsidR="003F55E1">
        <w:t xml:space="preserve">record </w:t>
      </w:r>
      <w:r>
        <w:t>created with the</w:t>
      </w:r>
      <w:r w:rsidR="00531E25">
        <w:t xml:space="preserve"> information provided in the process of </w:t>
      </w:r>
      <w:r w:rsidR="003F55E1">
        <w:t xml:space="preserve">PII Controller </w:t>
      </w:r>
      <w:r w:rsidR="005D7E3E">
        <w:t>Identification</w:t>
      </w:r>
      <w:r w:rsidR="00531E25">
        <w:t>.</w:t>
      </w:r>
    </w:p>
    <w:p w14:paraId="25EC34C9" w14:textId="77777777" w:rsidR="003F55E1" w:rsidRPr="001F27DA" w:rsidRDefault="003F55E1" w:rsidP="001056EF"/>
    <w:p w14:paraId="7BE0C57A" w14:textId="77777777" w:rsidR="00635115" w:rsidRDefault="00635115" w:rsidP="001056EF">
      <w:pPr>
        <w:rPr>
          <w:b/>
          <w:bCs/>
        </w:rPr>
      </w:pPr>
    </w:p>
    <w:p w14:paraId="5006DF0D" w14:textId="77777777" w:rsidR="00945662" w:rsidRPr="001056EF" w:rsidRDefault="00945662" w:rsidP="00916897">
      <w:pPr>
        <w:pStyle w:val="Heading2"/>
      </w:pPr>
      <w:bookmarkStart w:id="9" w:name="_13lqxecr4wv9" w:colFirst="0" w:colLast="0"/>
      <w:bookmarkEnd w:id="9"/>
      <w:r w:rsidRPr="001056EF">
        <w:t>Abbreviated terms</w:t>
      </w:r>
    </w:p>
    <w:p w14:paraId="1D3C9F4B" w14:textId="7C30F6E1" w:rsidR="0031698B" w:rsidRDefault="0031698B" w:rsidP="00945662">
      <w:pPr>
        <w:numPr>
          <w:ilvl w:val="0"/>
          <w:numId w:val="8"/>
        </w:numPr>
        <w:rPr>
          <w:szCs w:val="22"/>
        </w:rPr>
      </w:pPr>
      <w:r>
        <w:rPr>
          <w:szCs w:val="22"/>
        </w:rPr>
        <w:t>AI – Artificial intelligence</w:t>
      </w:r>
    </w:p>
    <w:p w14:paraId="16CD4D18" w14:textId="2AAF2C20" w:rsidR="0031698B" w:rsidRDefault="00945662" w:rsidP="00945662">
      <w:pPr>
        <w:numPr>
          <w:ilvl w:val="0"/>
          <w:numId w:val="8"/>
        </w:numPr>
        <w:rPr>
          <w:szCs w:val="22"/>
        </w:rPr>
      </w:pPr>
      <w:r w:rsidRPr="00945662">
        <w:rPr>
          <w:szCs w:val="22"/>
        </w:rPr>
        <w:t>ANCR</w:t>
      </w:r>
      <w:r w:rsidR="008F1888">
        <w:rPr>
          <w:szCs w:val="22"/>
        </w:rPr>
        <w:t xml:space="preserve"> – </w:t>
      </w:r>
      <w:r w:rsidRPr="00945662">
        <w:rPr>
          <w:szCs w:val="22"/>
        </w:rPr>
        <w:t>Anchored Notice and Consent Receipt</w:t>
      </w:r>
    </w:p>
    <w:p w14:paraId="6A610E97" w14:textId="0CF7FEC3" w:rsidR="007B3299" w:rsidRDefault="007B3299" w:rsidP="00945662">
      <w:pPr>
        <w:numPr>
          <w:ilvl w:val="0"/>
          <w:numId w:val="8"/>
        </w:numPr>
        <w:rPr>
          <w:szCs w:val="22"/>
        </w:rPr>
      </w:pPr>
      <w:r>
        <w:rPr>
          <w:szCs w:val="22"/>
        </w:rPr>
        <w:t xml:space="preserve">CAI - </w:t>
      </w:r>
      <w:r w:rsidR="000E64E0" w:rsidRPr="000E64E0">
        <w:rPr>
          <w:szCs w:val="22"/>
        </w:rPr>
        <w:t>Commission d’accès à l’information</w:t>
      </w:r>
      <w:r w:rsidR="000E64E0">
        <w:rPr>
          <w:szCs w:val="22"/>
        </w:rPr>
        <w:t xml:space="preserve"> (Quebec)</w:t>
      </w:r>
    </w:p>
    <w:p w14:paraId="3DE2359B" w14:textId="6A934601" w:rsidR="000E64E0" w:rsidRDefault="000E64E0" w:rsidP="00945662">
      <w:pPr>
        <w:numPr>
          <w:ilvl w:val="0"/>
          <w:numId w:val="8"/>
        </w:numPr>
        <w:rPr>
          <w:szCs w:val="22"/>
        </w:rPr>
      </w:pPr>
      <w:r>
        <w:rPr>
          <w:szCs w:val="22"/>
        </w:rPr>
        <w:t>CBOR – Concise Binary Object Representation</w:t>
      </w:r>
    </w:p>
    <w:p w14:paraId="085F49FC" w14:textId="1A8B2A62" w:rsidR="000E64E0" w:rsidRDefault="000E64E0" w:rsidP="00945662">
      <w:pPr>
        <w:numPr>
          <w:ilvl w:val="0"/>
          <w:numId w:val="8"/>
        </w:numPr>
        <w:rPr>
          <w:szCs w:val="22"/>
        </w:rPr>
      </w:pPr>
      <w:r>
        <w:rPr>
          <w:szCs w:val="22"/>
        </w:rPr>
        <w:t>CI – Controller Identification</w:t>
      </w:r>
    </w:p>
    <w:p w14:paraId="37E5C669" w14:textId="2F6E9CEB" w:rsidR="000E64E0" w:rsidRDefault="000E64E0" w:rsidP="00945662">
      <w:pPr>
        <w:numPr>
          <w:ilvl w:val="0"/>
          <w:numId w:val="8"/>
        </w:numPr>
        <w:rPr>
          <w:szCs w:val="22"/>
        </w:rPr>
      </w:pPr>
      <w:r>
        <w:rPr>
          <w:szCs w:val="22"/>
        </w:rPr>
        <w:t>CoE – Council of Europe</w:t>
      </w:r>
    </w:p>
    <w:p w14:paraId="6A99B491" w14:textId="214185D4" w:rsidR="005D7E3E" w:rsidRDefault="005D7E3E" w:rsidP="00945662">
      <w:pPr>
        <w:numPr>
          <w:ilvl w:val="0"/>
          <w:numId w:val="8"/>
        </w:numPr>
        <w:rPr>
          <w:szCs w:val="22"/>
        </w:rPr>
      </w:pPr>
      <w:r>
        <w:rPr>
          <w:szCs w:val="22"/>
        </w:rPr>
        <w:lastRenderedPageBreak/>
        <w:t>COSE – CBOR Object Signing and Encryption</w:t>
      </w:r>
    </w:p>
    <w:p w14:paraId="65C6FEC4" w14:textId="53890B0A" w:rsidR="000E64E0" w:rsidRDefault="000E64E0" w:rsidP="00945662">
      <w:pPr>
        <w:numPr>
          <w:ilvl w:val="0"/>
          <w:numId w:val="8"/>
        </w:numPr>
        <w:rPr>
          <w:szCs w:val="22"/>
        </w:rPr>
      </w:pPr>
      <w:r>
        <w:rPr>
          <w:szCs w:val="22"/>
        </w:rPr>
        <w:t xml:space="preserve">DIDs- Decentralized Identifiers </w:t>
      </w:r>
    </w:p>
    <w:p w14:paraId="2FF38C59" w14:textId="30CA8475" w:rsidR="0031698B" w:rsidRPr="007371EC" w:rsidRDefault="0031698B" w:rsidP="007371EC">
      <w:pPr>
        <w:numPr>
          <w:ilvl w:val="0"/>
          <w:numId w:val="8"/>
        </w:numPr>
        <w:rPr>
          <w:szCs w:val="22"/>
        </w:rPr>
      </w:pPr>
      <w:r>
        <w:rPr>
          <w:szCs w:val="22"/>
        </w:rPr>
        <w:t>EDPB -European Data Protection Board</w:t>
      </w:r>
      <w:r w:rsidR="00945662" w:rsidRPr="00945662">
        <w:rPr>
          <w:szCs w:val="22"/>
        </w:rPr>
        <w:t xml:space="preserve"> </w:t>
      </w:r>
      <w:r w:rsidR="007B3299">
        <w:rPr>
          <w:szCs w:val="22"/>
        </w:rPr>
        <w:t xml:space="preserve">EEC – European Economic </w:t>
      </w:r>
      <w:r w:rsidR="007371EC">
        <w:rPr>
          <w:szCs w:val="22"/>
        </w:rPr>
        <w:t>Community</w:t>
      </w:r>
    </w:p>
    <w:p w14:paraId="3E3B03F5" w14:textId="77777777" w:rsidR="0031698B" w:rsidRDefault="0031698B" w:rsidP="00945662">
      <w:pPr>
        <w:numPr>
          <w:ilvl w:val="0"/>
          <w:numId w:val="8"/>
        </w:numPr>
        <w:rPr>
          <w:szCs w:val="22"/>
        </w:rPr>
      </w:pPr>
      <w:r>
        <w:rPr>
          <w:szCs w:val="22"/>
        </w:rPr>
        <w:t>GDPR General Data Protection Regulation</w:t>
      </w:r>
    </w:p>
    <w:p w14:paraId="6B53F32A" w14:textId="538C08D0" w:rsidR="00945662" w:rsidRDefault="00945662" w:rsidP="00945662">
      <w:pPr>
        <w:numPr>
          <w:ilvl w:val="0"/>
          <w:numId w:val="8"/>
        </w:numPr>
        <w:rPr>
          <w:szCs w:val="22"/>
        </w:rPr>
      </w:pPr>
      <w:r w:rsidRPr="00945662">
        <w:rPr>
          <w:szCs w:val="22"/>
        </w:rPr>
        <w:t>ISO/IEC</w:t>
      </w:r>
      <w:r w:rsidR="008F1888">
        <w:rPr>
          <w:szCs w:val="22"/>
        </w:rPr>
        <w:t xml:space="preserve"> – </w:t>
      </w:r>
      <w:r w:rsidRPr="00945662">
        <w:rPr>
          <w:szCs w:val="22"/>
        </w:rPr>
        <w:t>International Organization for Standardization/International Electrotechnical Commission</w:t>
      </w:r>
    </w:p>
    <w:p w14:paraId="0A047655" w14:textId="74906204" w:rsidR="000E64E0" w:rsidRDefault="00BF3AD1" w:rsidP="00945662">
      <w:pPr>
        <w:numPr>
          <w:ilvl w:val="0"/>
          <w:numId w:val="8"/>
        </w:numPr>
        <w:rPr>
          <w:szCs w:val="22"/>
        </w:rPr>
      </w:pPr>
      <w:r>
        <w:rPr>
          <w:szCs w:val="22"/>
        </w:rPr>
        <w:t>JOSE – JavaScript Object Signing and Encryption</w:t>
      </w:r>
    </w:p>
    <w:p w14:paraId="7EE31DF7" w14:textId="423DFDA6" w:rsidR="000E64E0" w:rsidRPr="00945662" w:rsidRDefault="000E64E0" w:rsidP="00945662">
      <w:pPr>
        <w:numPr>
          <w:ilvl w:val="0"/>
          <w:numId w:val="8"/>
        </w:numPr>
        <w:rPr>
          <w:szCs w:val="22"/>
        </w:rPr>
      </w:pPr>
      <w:r>
        <w:rPr>
          <w:szCs w:val="22"/>
        </w:rPr>
        <w:t xml:space="preserve">mDL – Mobile </w:t>
      </w:r>
      <w:r w:rsidR="00BF3AD1">
        <w:rPr>
          <w:szCs w:val="22"/>
        </w:rPr>
        <w:t>Driver</w:t>
      </w:r>
      <w:r>
        <w:rPr>
          <w:szCs w:val="22"/>
        </w:rPr>
        <w:t xml:space="preserve"> License</w:t>
      </w:r>
    </w:p>
    <w:p w14:paraId="7F001A2A" w14:textId="69E31533" w:rsidR="0031698B" w:rsidRDefault="00945662" w:rsidP="0031698B">
      <w:pPr>
        <w:numPr>
          <w:ilvl w:val="0"/>
          <w:numId w:val="8"/>
        </w:numPr>
      </w:pPr>
      <w:r>
        <w:t>PII</w:t>
      </w:r>
      <w:r w:rsidR="008F1888">
        <w:t xml:space="preserve"> – P</w:t>
      </w:r>
      <w:r>
        <w:t xml:space="preserve">ersonally </w:t>
      </w:r>
      <w:r w:rsidR="008F1888">
        <w:t>I</w:t>
      </w:r>
      <w:r>
        <w:t xml:space="preserve">dentifiable </w:t>
      </w:r>
      <w:r w:rsidR="69A93F0C">
        <w:t>Information</w:t>
      </w:r>
    </w:p>
    <w:p w14:paraId="7ECDB8D3" w14:textId="1A98AF4E" w:rsidR="000E64E0" w:rsidRDefault="000E64E0" w:rsidP="0031698B">
      <w:pPr>
        <w:numPr>
          <w:ilvl w:val="0"/>
          <w:numId w:val="8"/>
        </w:numPr>
      </w:pPr>
      <w:r>
        <w:t>SSL – Secure Sockey Layer</w:t>
      </w:r>
    </w:p>
    <w:p w14:paraId="507E0203" w14:textId="2A7D7AB8" w:rsidR="00BF3AD1" w:rsidRDefault="00BF3AD1" w:rsidP="0031698B">
      <w:pPr>
        <w:numPr>
          <w:ilvl w:val="0"/>
          <w:numId w:val="8"/>
        </w:numPr>
      </w:pPr>
      <w:r>
        <w:t>SPAP – Security and Privacy Access Point</w:t>
      </w:r>
    </w:p>
    <w:p w14:paraId="1238BF94" w14:textId="7745D204" w:rsidR="000E64E0" w:rsidRDefault="000E64E0" w:rsidP="0031698B">
      <w:pPr>
        <w:numPr>
          <w:ilvl w:val="0"/>
          <w:numId w:val="8"/>
        </w:numPr>
      </w:pPr>
      <w:r>
        <w:t>TLS – Transport Layer Security</w:t>
      </w:r>
    </w:p>
    <w:p w14:paraId="00324038" w14:textId="24C95B8F" w:rsidR="0031698B" w:rsidRDefault="0031698B" w:rsidP="00945662">
      <w:pPr>
        <w:numPr>
          <w:ilvl w:val="0"/>
          <w:numId w:val="8"/>
        </w:numPr>
      </w:pPr>
      <w:r>
        <w:t>TPI – Transparency Performance Indicator</w:t>
      </w:r>
    </w:p>
    <w:p w14:paraId="5CBFD880" w14:textId="6A7F4E20" w:rsidR="0031698B" w:rsidRDefault="0031698B" w:rsidP="00945662">
      <w:pPr>
        <w:numPr>
          <w:ilvl w:val="0"/>
          <w:numId w:val="8"/>
        </w:numPr>
      </w:pPr>
      <w:r>
        <w:t>TPR – Transparency Performance Report(ing)</w:t>
      </w:r>
    </w:p>
    <w:p w14:paraId="7AEFC0E3" w14:textId="77777777" w:rsidR="0031698B" w:rsidRPr="00945662" w:rsidRDefault="0031698B" w:rsidP="007371EC">
      <w:pPr>
        <w:ind w:left="360"/>
      </w:pPr>
    </w:p>
    <w:p w14:paraId="7D5496D5" w14:textId="77777777" w:rsidR="001056EF" w:rsidRDefault="001056EF">
      <w:pPr>
        <w:spacing w:line="240" w:lineRule="auto"/>
        <w:rPr>
          <w:rFonts w:eastAsiaTheme="majorEastAsia" w:cs="Arial"/>
          <w:b/>
          <w:bCs/>
          <w:color w:val="2C3E50"/>
          <w:sz w:val="32"/>
          <w:szCs w:val="32"/>
        </w:rPr>
      </w:pPr>
      <w:r>
        <w:rPr>
          <w:color w:val="2C3E50"/>
        </w:rPr>
        <w:br w:type="page"/>
      </w:r>
    </w:p>
    <w:p w14:paraId="184F64FE" w14:textId="2AFE6AD1" w:rsidR="00EF7595" w:rsidRPr="001056EF" w:rsidRDefault="00945662" w:rsidP="001056EF">
      <w:pPr>
        <w:pStyle w:val="Heading1"/>
        <w:spacing w:line="240" w:lineRule="auto"/>
      </w:pPr>
      <w:bookmarkStart w:id="10" w:name="_Toc193376355"/>
      <w:r w:rsidRPr="001056EF">
        <w:lastRenderedPageBreak/>
        <w:t>5</w:t>
      </w:r>
      <w:r w:rsidR="00EF7595" w:rsidRPr="001056EF">
        <w:t xml:space="preserve">. </w:t>
      </w:r>
      <w:r w:rsidRPr="001056EF">
        <w:t>Methodology</w:t>
      </w:r>
      <w:bookmarkEnd w:id="10"/>
    </w:p>
    <w:p w14:paraId="38E220E4" w14:textId="77777777" w:rsidR="00EF7595" w:rsidRPr="009348C9" w:rsidRDefault="00EF7595" w:rsidP="001056EF">
      <w:pPr>
        <w:spacing w:line="240" w:lineRule="auto"/>
        <w:rPr>
          <w:szCs w:val="22"/>
        </w:rPr>
      </w:pPr>
      <w:r>
        <w:rPr>
          <w:noProof/>
          <w:color w:val="000000" w:themeColor="text1"/>
        </w:rPr>
        <mc:AlternateContent>
          <mc:Choice Requires="wps">
            <w:drawing>
              <wp:anchor distT="0" distB="0" distL="114300" distR="114300" simplePos="0" relativeHeight="251667456" behindDoc="0" locked="0" layoutInCell="1" allowOverlap="1" wp14:anchorId="164E1775" wp14:editId="4CE6A930">
                <wp:simplePos x="0" y="0"/>
                <wp:positionH relativeFrom="column">
                  <wp:posOffset>-59690</wp:posOffset>
                </wp:positionH>
                <wp:positionV relativeFrom="paragraph">
                  <wp:posOffset>50343</wp:posOffset>
                </wp:positionV>
                <wp:extent cx="5943600" cy="0"/>
                <wp:effectExtent l="0" t="0" r="12700" b="12700"/>
                <wp:wrapNone/>
                <wp:docPr id="1067401058"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FF05C5">
              <v:line id="Straight Connector 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7pt,3.95pt" to="463.3pt,3.95pt" w14:anchorId="4B9B6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">
                <v:stroke joinstyle="miter"/>
              </v:line>
            </w:pict>
          </mc:Fallback>
        </mc:AlternateContent>
      </w:r>
    </w:p>
    <w:p w14:paraId="70B06948" w14:textId="2D921203" w:rsidR="00EF7595" w:rsidRPr="001056EF" w:rsidRDefault="00CB76A5" w:rsidP="00EF7595">
      <w:pPr>
        <w:rPr>
          <w:color w:val="1F1F1F"/>
          <w:highlight w:val="white"/>
        </w:rPr>
      </w:pPr>
      <w:r w:rsidRPr="0C2E1696">
        <w:rPr>
          <w:color w:val="1F1F1F"/>
          <w:highlight w:val="white"/>
        </w:rPr>
        <w:t xml:space="preserve">The transparency modality is captured, </w:t>
      </w:r>
      <w:r w:rsidR="0D581CF1" w:rsidRPr="0C2E1696">
        <w:rPr>
          <w:color w:val="1F1F1F"/>
          <w:highlight w:val="white"/>
        </w:rPr>
        <w:t>recorded,</w:t>
      </w:r>
      <w:r w:rsidRPr="0C2E1696">
        <w:rPr>
          <w:color w:val="1F1F1F"/>
          <w:highlight w:val="white"/>
        </w:rPr>
        <w:t xml:space="preserve"> and measured using the PII Controller identification record (Appendix A). This records transparency performance, to assess if transparency is valid, operable, and secure, i.e., sufficient, for consent, using the </w:t>
      </w:r>
      <w:r w:rsidR="005D7E3E">
        <w:rPr>
          <w:color w:val="1F1F1F"/>
          <w:highlight w:val="white"/>
        </w:rPr>
        <w:t>4</w:t>
      </w:r>
      <w:r w:rsidRPr="0C2E1696">
        <w:rPr>
          <w:color w:val="1F1F1F"/>
          <w:highlight w:val="white"/>
        </w:rPr>
        <w:t xml:space="preserve"> TPIs, or </w:t>
      </w:r>
      <w:r w:rsidR="005D7E3E">
        <w:rPr>
          <w:color w:val="1F1F1F"/>
          <w:highlight w:val="white"/>
        </w:rPr>
        <w:t xml:space="preserve">as otherwise </w:t>
      </w:r>
      <w:r w:rsidRPr="0C2E1696">
        <w:rPr>
          <w:color w:val="1F1F1F"/>
          <w:highlight w:val="white"/>
        </w:rPr>
        <w:t>justified,</w:t>
      </w:r>
      <w:r w:rsidR="005D7E3E">
        <w:rPr>
          <w:color w:val="1F1F1F"/>
          <w:highlight w:val="white"/>
        </w:rPr>
        <w:t xml:space="preserve"> as</w:t>
      </w:r>
      <w:r w:rsidRPr="0C2E1696">
        <w:rPr>
          <w:color w:val="1F1F1F"/>
          <w:highlight w:val="white"/>
        </w:rPr>
        <w:t xml:space="preserve"> in the case of non-</w:t>
      </w:r>
      <w:r w:rsidR="01E7284F" w:rsidRPr="0C2E1696">
        <w:rPr>
          <w:color w:val="1F1F1F"/>
          <w:highlight w:val="white"/>
        </w:rPr>
        <w:t>consent-based</w:t>
      </w:r>
      <w:r w:rsidRPr="0C2E1696">
        <w:rPr>
          <w:color w:val="1F1F1F"/>
          <w:highlight w:val="white"/>
        </w:rPr>
        <w:t xml:space="preserve"> surveillance. </w:t>
      </w:r>
    </w:p>
    <w:p w14:paraId="3AC3EB17" w14:textId="42D6C080" w:rsidR="00EF7595" w:rsidRPr="00544037" w:rsidRDefault="00CB76A5" w:rsidP="00EF7595">
      <w:pPr>
        <w:pStyle w:val="Heading2"/>
      </w:pPr>
      <w:bookmarkStart w:id="11" w:name="_Toc193376356"/>
      <w:r>
        <w:t xml:space="preserve">5.1 Transparency Performance </w:t>
      </w:r>
      <w:r w:rsidR="68FEFC7D">
        <w:t>Indicators (</w:t>
      </w:r>
      <w:r>
        <w:t>TPIs)</w:t>
      </w:r>
      <w:bookmarkEnd w:id="11"/>
      <w:r>
        <w:t xml:space="preserve"> </w:t>
      </w:r>
    </w:p>
    <w:p w14:paraId="6283965C" w14:textId="7F3D09C2" w:rsidR="00CB76A5" w:rsidRPr="00543158" w:rsidRDefault="61CBB305" w:rsidP="00CB76A5">
      <w:pPr>
        <w:rPr>
          <w:color w:val="000000" w:themeColor="text1"/>
          <w:highlight w:val="white"/>
        </w:rPr>
      </w:pPr>
      <w:r w:rsidRPr="0C2E1696">
        <w:rPr>
          <w:color w:val="1F1F1F"/>
          <w:highlight w:val="white"/>
        </w:rPr>
        <w:t>These four (4) Transparency Performance Indicators</w:t>
      </w:r>
      <w:r w:rsidR="00CB76A5" w:rsidRPr="0C2E1696">
        <w:rPr>
          <w:color w:val="1F1F1F"/>
          <w:highlight w:val="white"/>
        </w:rPr>
        <w:t xml:space="preserve"> are very specifically articulated to measure a transparency modality for valid consent, how meaningful it is, and operationally capable, to assess conformance with international (Internet suitable) Convention 108+, standard global </w:t>
      </w:r>
      <w:r w:rsidR="00CB76A5" w:rsidRPr="00543158">
        <w:rPr>
          <w:color w:val="000000" w:themeColor="text1"/>
          <w:highlight w:val="white"/>
        </w:rPr>
        <w:t>privacy framework.</w:t>
      </w:r>
    </w:p>
    <w:p w14:paraId="6D2C30D8" w14:textId="77777777" w:rsidR="00CB76A5" w:rsidRPr="00543158" w:rsidRDefault="00CB76A5" w:rsidP="00CB76A5">
      <w:pPr>
        <w:rPr>
          <w:color w:val="000000" w:themeColor="text1"/>
          <w:highlight w:val="white"/>
        </w:rPr>
      </w:pPr>
    </w:p>
    <w:p w14:paraId="7558D456" w14:textId="1D37A77B" w:rsidR="00EF7595" w:rsidRPr="00543158" w:rsidRDefault="00CB76A5" w:rsidP="00EF7595">
      <w:pPr>
        <w:rPr>
          <w:color w:val="000000" w:themeColor="text1"/>
        </w:rPr>
      </w:pPr>
      <w:r w:rsidRPr="00543158">
        <w:rPr>
          <w:color w:val="000000" w:themeColor="text1"/>
          <w:highlight w:val="white"/>
        </w:rPr>
        <w:t xml:space="preserve">Consent is Valid if PII Controller identification is provided before data collection, partially valid if before processing with for example low risk pseudonymous identifiers, and not valid if identification is provided after processing. Consent is measured as capable of </w:t>
      </w:r>
      <w:r w:rsidR="009D16A6" w:rsidRPr="00543158">
        <w:rPr>
          <w:color w:val="000000" w:themeColor="text1"/>
          <w:highlight w:val="white"/>
        </w:rPr>
        <w:t>being meaningful</w:t>
      </w:r>
      <w:r w:rsidRPr="00543158">
        <w:rPr>
          <w:color w:val="000000" w:themeColor="text1"/>
          <w:highlight w:val="white"/>
        </w:rPr>
        <w:t xml:space="preserve">, if access to security and privacy is proportionate to data collection, sovereign and access </w:t>
      </w:r>
      <w:r w:rsidR="640866D9" w:rsidRPr="00543158">
        <w:rPr>
          <w:color w:val="000000" w:themeColor="text1"/>
          <w:highlight w:val="white"/>
        </w:rPr>
        <w:t>capability</w:t>
      </w:r>
      <w:r w:rsidRPr="00543158">
        <w:rPr>
          <w:color w:val="000000" w:themeColor="text1"/>
          <w:highlight w:val="white"/>
        </w:rPr>
        <w:t xml:space="preserve">. </w:t>
      </w:r>
    </w:p>
    <w:p w14:paraId="309E1C5E" w14:textId="3BA31CA1" w:rsidR="00CB76A5" w:rsidRPr="009D16A6" w:rsidRDefault="00FF278A" w:rsidP="0C2E1696">
      <w:pPr>
        <w:pStyle w:val="Heading3"/>
        <w:rPr>
          <w:b w:val="0"/>
          <w:sz w:val="22"/>
          <w:szCs w:val="22"/>
        </w:rPr>
      </w:pPr>
      <w:r w:rsidRPr="00543158">
        <w:rPr>
          <w:b w:val="0"/>
          <w:sz w:val="22"/>
          <w:szCs w:val="22"/>
        </w:rPr>
        <w:t>As indic</w:t>
      </w:r>
      <w:r w:rsidR="006A78A0" w:rsidRPr="00543158">
        <w:rPr>
          <w:b w:val="0"/>
          <w:sz w:val="22"/>
          <w:szCs w:val="22"/>
        </w:rPr>
        <w:t>a</w:t>
      </w:r>
      <w:r w:rsidRPr="00543158">
        <w:rPr>
          <w:b w:val="0"/>
          <w:sz w:val="22"/>
          <w:szCs w:val="22"/>
        </w:rPr>
        <w:t xml:space="preserve">ted in </w:t>
      </w:r>
      <w:r w:rsidR="001056EF" w:rsidRPr="00543158">
        <w:rPr>
          <w:b w:val="0"/>
          <w:sz w:val="22"/>
          <w:szCs w:val="22"/>
        </w:rPr>
        <w:t>f</w:t>
      </w:r>
      <w:r w:rsidRPr="00543158">
        <w:rPr>
          <w:b w:val="0"/>
          <w:sz w:val="22"/>
          <w:szCs w:val="22"/>
        </w:rPr>
        <w:t xml:space="preserve">igure </w:t>
      </w:r>
      <w:r w:rsidRPr="001056EF">
        <w:rPr>
          <w:b w:val="0"/>
          <w:sz w:val="22"/>
          <w:szCs w:val="22"/>
        </w:rPr>
        <w:t>1,</w:t>
      </w:r>
      <w:r w:rsidRPr="0C2E1696">
        <w:rPr>
          <w:b w:val="0"/>
          <w:sz w:val="22"/>
          <w:szCs w:val="22"/>
        </w:rPr>
        <w:t xml:space="preserve"> the T</w:t>
      </w:r>
      <w:r w:rsidR="00CB76A5" w:rsidRPr="0C2E1696">
        <w:rPr>
          <w:b w:val="0"/>
          <w:sz w:val="22"/>
          <w:szCs w:val="22"/>
        </w:rPr>
        <w:t>ransparency Performance Indicators</w:t>
      </w:r>
      <w:r w:rsidR="009D16A6" w:rsidRPr="0C2E1696">
        <w:rPr>
          <w:b w:val="0"/>
          <w:sz w:val="22"/>
          <w:szCs w:val="22"/>
        </w:rPr>
        <w:t xml:space="preserve"> conducted in sequence and can be used to determine </w:t>
      </w:r>
      <w:r w:rsidR="6885BD43" w:rsidRPr="0C2E1696">
        <w:rPr>
          <w:b w:val="0"/>
          <w:sz w:val="22"/>
          <w:szCs w:val="22"/>
        </w:rPr>
        <w:t>whether</w:t>
      </w:r>
      <w:r w:rsidR="009D16A6" w:rsidRPr="0C2E1696">
        <w:rPr>
          <w:b w:val="0"/>
          <w:sz w:val="22"/>
          <w:szCs w:val="22"/>
        </w:rPr>
        <w:t xml:space="preserve"> there is a basis for valid consent, and more generally </w:t>
      </w:r>
      <w:r w:rsidR="2365EFE6" w:rsidRPr="0C2E1696">
        <w:rPr>
          <w:b w:val="0"/>
          <w:sz w:val="22"/>
          <w:szCs w:val="22"/>
        </w:rPr>
        <w:t>whether</w:t>
      </w:r>
      <w:r w:rsidR="009D16A6" w:rsidRPr="0C2E1696">
        <w:rPr>
          <w:b w:val="0"/>
          <w:sz w:val="22"/>
          <w:szCs w:val="22"/>
        </w:rPr>
        <w:t xml:space="preserve"> PII Controllers have met their obligations for notice. The four (4) TPIs are</w:t>
      </w:r>
      <w:r w:rsidR="001056EF">
        <w:rPr>
          <w:b w:val="0"/>
          <w:sz w:val="22"/>
          <w:szCs w:val="22"/>
        </w:rPr>
        <w:t>:</w:t>
      </w:r>
    </w:p>
    <w:p w14:paraId="3CB30DFA" w14:textId="77777777" w:rsidR="00CB76A5" w:rsidRPr="001056EF" w:rsidRDefault="00CB76A5" w:rsidP="001056EF">
      <w:pPr>
        <w:pStyle w:val="Heading4"/>
        <w:numPr>
          <w:ilvl w:val="0"/>
          <w:numId w:val="11"/>
        </w:numPr>
        <w:spacing w:line="240" w:lineRule="auto"/>
        <w:ind w:left="360"/>
        <w:rPr>
          <w:color w:val="3DB07C"/>
          <w:szCs w:val="22"/>
        </w:rPr>
      </w:pPr>
      <w:bookmarkStart w:id="12" w:name="_2epvzk65wvco" w:colFirst="0" w:colLast="0"/>
      <w:bookmarkEnd w:id="12"/>
      <w:r w:rsidRPr="001056EF">
        <w:rPr>
          <w:b/>
          <w:color w:val="3DB07C"/>
          <w:szCs w:val="22"/>
        </w:rPr>
        <w:t>Timing of</w:t>
      </w:r>
      <w:r w:rsidRPr="001056EF">
        <w:rPr>
          <w:color w:val="3DB07C"/>
          <w:szCs w:val="22"/>
        </w:rPr>
        <w:t xml:space="preserve"> PII Controller identification: </w:t>
      </w:r>
    </w:p>
    <w:p w14:paraId="3C2C02C4" w14:textId="731336EE" w:rsidR="00CB76A5" w:rsidRPr="00CB76A5" w:rsidRDefault="00CB76A5" w:rsidP="001056EF">
      <w:pPr>
        <w:spacing w:line="240" w:lineRule="auto"/>
        <w:ind w:left="360"/>
        <w:rPr>
          <w:szCs w:val="22"/>
        </w:rPr>
      </w:pPr>
      <w:r w:rsidRPr="00CB76A5">
        <w:rPr>
          <w:szCs w:val="22"/>
        </w:rPr>
        <w:t xml:space="preserve">Captures the timing </w:t>
      </w:r>
      <w:r w:rsidR="009D16A6" w:rsidRPr="00CB76A5">
        <w:rPr>
          <w:szCs w:val="22"/>
        </w:rPr>
        <w:t>of controller</w:t>
      </w:r>
      <w:r w:rsidRPr="00CB76A5">
        <w:rPr>
          <w:szCs w:val="22"/>
        </w:rPr>
        <w:t xml:space="preserve"> identification presentation. It assesses if identification was provided prior to collection, before, or after processing PII. </w:t>
      </w:r>
    </w:p>
    <w:p w14:paraId="7F72F5F6" w14:textId="77777777" w:rsidR="00CB76A5" w:rsidRPr="001056EF" w:rsidRDefault="00CB76A5" w:rsidP="001056EF">
      <w:pPr>
        <w:pStyle w:val="Heading4"/>
        <w:numPr>
          <w:ilvl w:val="0"/>
          <w:numId w:val="11"/>
        </w:numPr>
        <w:spacing w:line="240" w:lineRule="auto"/>
        <w:ind w:left="360"/>
        <w:rPr>
          <w:color w:val="3DB07C"/>
          <w:szCs w:val="22"/>
        </w:rPr>
      </w:pPr>
      <w:bookmarkStart w:id="13" w:name="_4py61wuloyqn" w:colFirst="0" w:colLast="0"/>
      <w:bookmarkEnd w:id="13"/>
      <w:r w:rsidRPr="001056EF">
        <w:rPr>
          <w:color w:val="3DB07C"/>
          <w:szCs w:val="22"/>
        </w:rPr>
        <w:t xml:space="preserve">Presence of compulsory identification: </w:t>
      </w:r>
    </w:p>
    <w:p w14:paraId="7852D99F" w14:textId="77777777" w:rsidR="00CB76A5" w:rsidRPr="00CB76A5" w:rsidRDefault="00CB76A5" w:rsidP="001056EF">
      <w:pPr>
        <w:spacing w:line="240" w:lineRule="auto"/>
        <w:ind w:left="360"/>
        <w:rPr>
          <w:szCs w:val="22"/>
        </w:rPr>
      </w:pPr>
      <w:r w:rsidRPr="00CB76A5">
        <w:rPr>
          <w:szCs w:val="22"/>
        </w:rPr>
        <w:t>Records the extent to which the compulsory Controller identification attributes are provided (Present/Not Present)</w:t>
      </w:r>
    </w:p>
    <w:p w14:paraId="1D73A153" w14:textId="5532AC99" w:rsidR="00CB76A5" w:rsidRPr="001056EF" w:rsidRDefault="00CB76A5" w:rsidP="001056EF">
      <w:pPr>
        <w:pStyle w:val="Heading4"/>
        <w:numPr>
          <w:ilvl w:val="0"/>
          <w:numId w:val="11"/>
        </w:numPr>
        <w:spacing w:line="240" w:lineRule="auto"/>
        <w:ind w:left="360"/>
        <w:rPr>
          <w:color w:val="3DB07C"/>
          <w:szCs w:val="22"/>
        </w:rPr>
      </w:pPr>
      <w:bookmarkStart w:id="14" w:name="_dgao2ifza2rg" w:colFirst="0" w:colLast="0"/>
      <w:bookmarkEnd w:id="14"/>
      <w:r w:rsidRPr="001056EF">
        <w:rPr>
          <w:color w:val="3DB07C"/>
          <w:szCs w:val="22"/>
        </w:rPr>
        <w:t xml:space="preserve">Security and </w:t>
      </w:r>
      <w:r w:rsidR="001056EF">
        <w:rPr>
          <w:color w:val="3DB07C"/>
          <w:szCs w:val="22"/>
        </w:rPr>
        <w:t>p</w:t>
      </w:r>
      <w:r w:rsidRPr="001056EF">
        <w:rPr>
          <w:color w:val="3DB07C"/>
          <w:szCs w:val="22"/>
        </w:rPr>
        <w:t xml:space="preserve">rivacy </w:t>
      </w:r>
      <w:r w:rsidR="001056EF">
        <w:rPr>
          <w:color w:val="3DB07C"/>
          <w:szCs w:val="22"/>
        </w:rPr>
        <w:t>r</w:t>
      </w:r>
      <w:r w:rsidRPr="001056EF">
        <w:rPr>
          <w:color w:val="3DB07C"/>
          <w:szCs w:val="22"/>
        </w:rPr>
        <w:t xml:space="preserve">ights </w:t>
      </w:r>
      <w:r w:rsidR="001056EF">
        <w:rPr>
          <w:b/>
          <w:color w:val="3DB07C"/>
          <w:szCs w:val="22"/>
        </w:rPr>
        <w:t>a</w:t>
      </w:r>
      <w:r w:rsidRPr="001056EF">
        <w:rPr>
          <w:b/>
          <w:color w:val="3DB07C"/>
          <w:szCs w:val="22"/>
        </w:rPr>
        <w:t>ccess</w:t>
      </w:r>
      <w:r w:rsidRPr="001056EF">
        <w:rPr>
          <w:color w:val="3DB07C"/>
          <w:szCs w:val="22"/>
        </w:rPr>
        <w:t xml:space="preserve">: </w:t>
      </w:r>
    </w:p>
    <w:p w14:paraId="7800AAAA" w14:textId="74C46DD2" w:rsidR="00CB76A5" w:rsidRPr="00CB76A5" w:rsidRDefault="00CB76A5" w:rsidP="001056EF">
      <w:pPr>
        <w:spacing w:line="240" w:lineRule="auto"/>
        <w:ind w:left="360"/>
      </w:pPr>
      <w:r>
        <w:t xml:space="preserve">Measures how accessible the above compulsory controller </w:t>
      </w:r>
      <w:r w:rsidR="3BF3D36D">
        <w:t>identification information</w:t>
      </w:r>
      <w:r>
        <w:t xml:space="preserve"> is in the service session context. In </w:t>
      </w:r>
      <w:r w:rsidR="09245A5D">
        <w:t>addition,</w:t>
      </w:r>
      <w:r>
        <w:t xml:space="preserve"> it measures how accessible the Controller security and privacy access point</w:t>
      </w:r>
      <w:r w:rsidR="001056EF">
        <w:t xml:space="preserve"> is</w:t>
      </w:r>
      <w:r>
        <w:t xml:space="preserve">, and assesses how accurate, </w:t>
      </w:r>
      <w:r w:rsidR="12B95C22">
        <w:t>complete,</w:t>
      </w:r>
      <w:r>
        <w:t xml:space="preserve"> and operational (i.e., usable) this information is in practice. </w:t>
      </w:r>
    </w:p>
    <w:p w14:paraId="4CA040D4" w14:textId="16FB1F3C" w:rsidR="00CB76A5" w:rsidRPr="001056EF" w:rsidRDefault="00CB76A5" w:rsidP="001056EF">
      <w:pPr>
        <w:pStyle w:val="Heading4"/>
        <w:numPr>
          <w:ilvl w:val="0"/>
          <w:numId w:val="11"/>
        </w:numPr>
        <w:spacing w:line="240" w:lineRule="auto"/>
        <w:ind w:left="360"/>
        <w:rPr>
          <w:color w:val="3DB07C"/>
          <w:szCs w:val="22"/>
        </w:rPr>
      </w:pPr>
      <w:bookmarkStart w:id="15" w:name="_cug6spm9va25" w:colFirst="0" w:colLast="0"/>
      <w:bookmarkEnd w:id="15"/>
      <w:r w:rsidRPr="001056EF">
        <w:rPr>
          <w:b/>
          <w:color w:val="3DB07C"/>
          <w:szCs w:val="22"/>
        </w:rPr>
        <w:lastRenderedPageBreak/>
        <w:t xml:space="preserve">Security </w:t>
      </w:r>
      <w:r w:rsidRPr="001056EF">
        <w:rPr>
          <w:bCs/>
          <w:color w:val="3DB07C"/>
          <w:szCs w:val="22"/>
        </w:rPr>
        <w:t>and</w:t>
      </w:r>
      <w:r w:rsidRPr="001056EF">
        <w:rPr>
          <w:b/>
          <w:color w:val="3DB07C"/>
          <w:szCs w:val="22"/>
        </w:rPr>
        <w:t xml:space="preserve"> </w:t>
      </w:r>
      <w:r w:rsidR="001056EF">
        <w:rPr>
          <w:color w:val="3DB07C"/>
          <w:szCs w:val="22"/>
        </w:rPr>
        <w:t>s</w:t>
      </w:r>
      <w:r w:rsidRPr="001056EF">
        <w:rPr>
          <w:color w:val="3DB07C"/>
          <w:szCs w:val="22"/>
        </w:rPr>
        <w:t xml:space="preserve">overeignty: </w:t>
      </w:r>
    </w:p>
    <w:p w14:paraId="3AE3F5A2" w14:textId="57EC2747" w:rsidR="00CB76A5" w:rsidRDefault="00CB76A5" w:rsidP="001056EF">
      <w:pPr>
        <w:spacing w:line="240" w:lineRule="auto"/>
        <w:ind w:left="360"/>
      </w:pPr>
      <w:r>
        <w:t>This indicator records the digital certificate(s), keys</w:t>
      </w:r>
      <w:r w:rsidR="001056EF">
        <w:t>,</w:t>
      </w:r>
      <w:r>
        <w:t xml:space="preserve"> and other tokens that may be employed to secure the technical interaction and or encrypt a session. It examines </w:t>
      </w:r>
      <w:r w:rsidR="009D16A6">
        <w:t>Identification, Location</w:t>
      </w:r>
      <w:r>
        <w:t>, Jurisdiction, and governance sovereignty (source of authority) information from the first 3 TPIs compared with the technical security information recorded in this 4th TPI (the associated certificates, object identifiers, policy and associated endpoint if accessible), for a measure of sovereign security integrity. While this is further facilitated by network connectivity it is possible to provide some or all this information in the form of an offline document.</w:t>
      </w:r>
    </w:p>
    <w:p w14:paraId="118B7141" w14:textId="5BB884AE" w:rsidR="00CA17A7" w:rsidRDefault="000C1EAD" w:rsidP="001056EF">
      <w:pPr>
        <w:jc w:val="center"/>
      </w:pPr>
      <w:r>
        <w:rPr>
          <w:noProof/>
        </w:rPr>
        <w:drawing>
          <wp:inline distT="0" distB="0" distL="0" distR="0" wp14:anchorId="74BF136C" wp14:editId="53573D60">
            <wp:extent cx="3765330" cy="5378450"/>
            <wp:effectExtent l="0" t="0" r="6985" b="0"/>
            <wp:docPr id="2135728549" name="Picture 15"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28549" name="Picture 15" descr="A diagram of a company&#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330" cy="5378450"/>
                    </a:xfrm>
                    <a:prstGeom prst="rect">
                      <a:avLst/>
                    </a:prstGeom>
                    <a:noFill/>
                    <a:ln>
                      <a:noFill/>
                    </a:ln>
                  </pic:spPr>
                </pic:pic>
              </a:graphicData>
            </a:graphic>
          </wp:inline>
        </w:drawing>
      </w:r>
    </w:p>
    <w:p w14:paraId="2F48C8DA" w14:textId="495B495B" w:rsidR="00EF7595" w:rsidRPr="007307C0" w:rsidRDefault="00CA17A7" w:rsidP="007307C0">
      <w:pPr>
        <w:pStyle w:val="Caption"/>
      </w:pPr>
      <w:bookmarkStart w:id="16" w:name="_Toc193376367"/>
      <w:r w:rsidRPr="007307C0">
        <w:t xml:space="preserve">Figure </w:t>
      </w:r>
      <w:fldSimple w:instr=" SEQ Figure \* ARABIC ">
        <w:r w:rsidRPr="007307C0">
          <w:t>1</w:t>
        </w:r>
      </w:fldSimple>
      <w:r w:rsidRPr="007307C0">
        <w:t xml:space="preserve">. </w:t>
      </w:r>
      <w:bookmarkStart w:id="17" w:name="_Hlk191377642"/>
      <w:r w:rsidRPr="007307C0">
        <w:t>T</w:t>
      </w:r>
      <w:r w:rsidR="009D16A6" w:rsidRPr="007307C0">
        <w:t xml:space="preserve">ransparency Reporting </w:t>
      </w:r>
      <w:r w:rsidRPr="007307C0">
        <w:t>Workflow</w:t>
      </w:r>
      <w:r w:rsidR="009D16A6" w:rsidRPr="007307C0">
        <w:t xml:space="preserve"> and Transparency Performance Indicators</w:t>
      </w:r>
      <w:bookmarkEnd w:id="16"/>
    </w:p>
    <w:p w14:paraId="12D16D6A" w14:textId="30BB734D" w:rsidR="00544037" w:rsidRPr="00544037" w:rsidRDefault="00544037" w:rsidP="00544037">
      <w:pPr>
        <w:pStyle w:val="Heading2"/>
        <w:rPr>
          <w:szCs w:val="26"/>
        </w:rPr>
      </w:pPr>
      <w:bookmarkStart w:id="18" w:name="_Toc193376357"/>
      <w:bookmarkEnd w:id="17"/>
      <w:r>
        <w:rPr>
          <w:szCs w:val="26"/>
        </w:rPr>
        <w:lastRenderedPageBreak/>
        <w:t xml:space="preserve">5.2 </w:t>
      </w:r>
      <w:r w:rsidRPr="00544037">
        <w:rPr>
          <w:szCs w:val="26"/>
        </w:rPr>
        <w:t>Considerations</w:t>
      </w:r>
      <w:bookmarkEnd w:id="18"/>
    </w:p>
    <w:p w14:paraId="075F265F" w14:textId="60B74014" w:rsidR="00544037" w:rsidRDefault="00544037" w:rsidP="00544037">
      <w:r>
        <w:t xml:space="preserve">Only identification and access </w:t>
      </w:r>
      <w:r w:rsidR="001056EF">
        <w:t>are</w:t>
      </w:r>
      <w:r>
        <w:t xml:space="preserve"> measured, as these indicators assess the conformance and compliance that is globally required for surveillance,</w:t>
      </w:r>
      <w:r w:rsidR="00807842">
        <w:t xml:space="preserve"> and</w:t>
      </w:r>
      <w:r>
        <w:t xml:space="preserve"> authentic (i.e., from a legitimate authority) security, and privacy. This does not assess services specific information, for example; purpose, legitimacy of processing, authority to process PII (i.e.</w:t>
      </w:r>
      <w:r w:rsidR="001056EF">
        <w:t>,</w:t>
      </w:r>
      <w:r>
        <w:t xml:space="preserve"> the grant of permission for processing), or a more granular scope of processing, beyond what is sovereign</w:t>
      </w:r>
      <w:r w:rsidR="001056EF">
        <w:t xml:space="preserve">. </w:t>
      </w:r>
      <w:r>
        <w:t xml:space="preserve">It provides often missing requirements for digital identification, referred to here </w:t>
      </w:r>
      <w:proofErr w:type="gramStart"/>
      <w:r>
        <w:t>and also</w:t>
      </w:r>
      <w:proofErr w:type="gramEnd"/>
      <w:r>
        <w:t xml:space="preserve"> known as surveillance trust</w:t>
      </w:r>
      <w:r w:rsidR="001F27DA">
        <w:t xml:space="preserve"> (consented surveillance)</w:t>
      </w:r>
      <w:r>
        <w:t xml:space="preserve"> requirements. </w:t>
      </w:r>
    </w:p>
    <w:p w14:paraId="684FBA17" w14:textId="77777777" w:rsidR="00544037" w:rsidRDefault="00544037" w:rsidP="00544037"/>
    <w:p w14:paraId="6629FF34" w14:textId="2790B4F2" w:rsidR="00544037" w:rsidRDefault="00544037" w:rsidP="00544037">
      <w:r>
        <w:t xml:space="preserve">In physical spaces, </w:t>
      </w:r>
      <w:r w:rsidR="00807842">
        <w:t xml:space="preserve">PII </w:t>
      </w:r>
      <w:r>
        <w:t>Controller identification, security</w:t>
      </w:r>
      <w:r w:rsidR="001056EF">
        <w:t>,</w:t>
      </w:r>
      <w:r>
        <w:t xml:space="preserve"> and rights access should, and in many cases, MUST be attached to surveillance signs, posted at the entry to physically, whether by a person or </w:t>
      </w:r>
      <w:r w:rsidR="7BC38DB3">
        <w:t>using</w:t>
      </w:r>
      <w:r>
        <w:t xml:space="preserve"> digital technologies, surveilled and secured spaces. In the case of online </w:t>
      </w:r>
      <w:r w:rsidR="0B0385E5">
        <w:t>services, or</w:t>
      </w:r>
      <w:r>
        <w:t xml:space="preserve"> on a device, all screens and user interfaces can be considered a notice, wherein Controller identification is required to be and can be presented.  </w:t>
      </w:r>
    </w:p>
    <w:p w14:paraId="50E6BAE3" w14:textId="58A272B6" w:rsidR="00807842" w:rsidRDefault="00807842" w:rsidP="007B44F0">
      <w:pPr>
        <w:pStyle w:val="NOTEParagraph"/>
        <w:spacing w:line="240" w:lineRule="auto"/>
      </w:pPr>
    </w:p>
    <w:p w14:paraId="7A64DF10" w14:textId="77777777" w:rsidR="007307C0" w:rsidRDefault="007307C0">
      <w:pPr>
        <w:spacing w:line="240" w:lineRule="auto"/>
        <w:rPr>
          <w:rStyle w:val="Heading1Char"/>
        </w:rPr>
      </w:pPr>
      <w:r>
        <w:rPr>
          <w:rStyle w:val="Heading1Char"/>
        </w:rPr>
        <w:br w:type="page"/>
      </w:r>
    </w:p>
    <w:p w14:paraId="04D7FBEB" w14:textId="00027C3D" w:rsidR="00EF7595" w:rsidRPr="007B44F0" w:rsidRDefault="00544037" w:rsidP="007B44F0">
      <w:pPr>
        <w:pStyle w:val="NOTEParagraph"/>
        <w:spacing w:line="240" w:lineRule="auto"/>
        <w:ind w:left="0" w:firstLine="0"/>
      </w:pPr>
      <w:bookmarkStart w:id="19" w:name="_Toc193376358"/>
      <w:r w:rsidRPr="007B44F0">
        <w:rPr>
          <w:rStyle w:val="Heading1Char"/>
        </w:rPr>
        <w:lastRenderedPageBreak/>
        <w:t>6</w:t>
      </w:r>
      <w:r w:rsidR="00EF7595" w:rsidRPr="007B44F0">
        <w:rPr>
          <w:rStyle w:val="Heading1Char"/>
        </w:rPr>
        <w:t xml:space="preserve">. </w:t>
      </w:r>
      <w:r w:rsidRPr="007B44F0">
        <w:rPr>
          <w:rStyle w:val="Heading1Char"/>
        </w:rPr>
        <w:t>Transparency Performance Indicator Metrics, Analysis,</w:t>
      </w:r>
      <w:bookmarkEnd w:id="19"/>
      <w:r w:rsidRPr="007B44F0">
        <w:rPr>
          <w:rStyle w:val="Heading1Char"/>
        </w:rPr>
        <w:t xml:space="preserve"> </w:t>
      </w:r>
      <w:r w:rsidR="007B44F0">
        <w:rPr>
          <w:noProof/>
          <w:color w:val="000000" w:themeColor="text1"/>
        </w:rPr>
        <mc:AlternateContent>
          <mc:Choice Requires="wps">
            <w:drawing>
              <wp:anchor distT="0" distB="0" distL="114300" distR="114300" simplePos="0" relativeHeight="251669504" behindDoc="0" locked="0" layoutInCell="1" allowOverlap="1" wp14:anchorId="26CFD7F5" wp14:editId="39DF7BA8">
                <wp:simplePos x="0" y="0"/>
                <wp:positionH relativeFrom="column">
                  <wp:posOffset>-59690</wp:posOffset>
                </wp:positionH>
                <wp:positionV relativeFrom="paragraph">
                  <wp:posOffset>542925</wp:posOffset>
                </wp:positionV>
                <wp:extent cx="5943600" cy="0"/>
                <wp:effectExtent l="0" t="0" r="12700" b="12700"/>
                <wp:wrapNone/>
                <wp:docPr id="1012800623"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0C270"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42.75pt" to="463.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" strokecolor="black [3213]" strokeweight=".5pt">
                <v:stroke joinstyle="miter"/>
              </v:line>
            </w:pict>
          </mc:Fallback>
        </mc:AlternateContent>
      </w:r>
      <w:r w:rsidRPr="007B44F0">
        <w:rPr>
          <w:rStyle w:val="Heading1Char"/>
        </w:rPr>
        <w:t>and References</w:t>
      </w:r>
    </w:p>
    <w:p w14:paraId="67CBDB72" w14:textId="06DA86B7" w:rsidR="00544037" w:rsidRDefault="00544037" w:rsidP="0C2E1696">
      <w:pPr>
        <w:pBdr>
          <w:top w:val="nil"/>
          <w:left w:val="nil"/>
          <w:bottom w:val="nil"/>
          <w:right w:val="nil"/>
          <w:between w:val="nil"/>
        </w:pBdr>
      </w:pPr>
      <w:r>
        <w:t xml:space="preserve">The primary authoritative reference is </w:t>
      </w:r>
      <w:r w:rsidR="167B9C7A">
        <w:t>Convention</w:t>
      </w:r>
      <w:r>
        <w:t xml:space="preserve"> 108+, as this treaty specifies the requirements for adequacy which countries implement as legislation that can be enforced to ratify the Convention. The convention itself </w:t>
      </w:r>
      <w:r w:rsidR="6761F58C">
        <w:t>is based</w:t>
      </w:r>
      <w:r>
        <w:t xml:space="preserve"> on principles widely implemented even in non-commonwealth countries. As a result, Convention 108</w:t>
      </w:r>
      <w:r w:rsidR="23F44B74">
        <w:t>+ is</w:t>
      </w:r>
      <w:r>
        <w:t xml:space="preserve"> the authoritative privacy policy for adequacy with regards to global Internet and digital privacy. It is used here to extend the use </w:t>
      </w:r>
      <w:r w:rsidR="2C50707C">
        <w:t>of ISO</w:t>
      </w:r>
      <w:r>
        <w:t xml:space="preserve">/IEC 29100, which is used to specify and record the Controller information. </w:t>
      </w:r>
    </w:p>
    <w:p w14:paraId="12AE8753" w14:textId="77777777" w:rsidR="00544037" w:rsidRDefault="00544037" w:rsidP="00544037">
      <w:pPr>
        <w:pBdr>
          <w:top w:val="nil"/>
          <w:left w:val="nil"/>
          <w:bottom w:val="nil"/>
          <w:right w:val="nil"/>
          <w:between w:val="nil"/>
        </w:pBdr>
      </w:pPr>
    </w:p>
    <w:p w14:paraId="1DE9DA61" w14:textId="566C56D1" w:rsidR="00EF7595" w:rsidRPr="00544037" w:rsidRDefault="00544037" w:rsidP="00EF7595">
      <w:r>
        <w:t>While the TPIs can be used to quickly self-assess transparency, its performance, capacity</w:t>
      </w:r>
      <w:r w:rsidR="001056EF">
        <w:t>,</w:t>
      </w:r>
      <w:r>
        <w:t xml:space="preserve"> and security, the methodology requires that the technical environment should be captured for evidential quality.</w:t>
      </w:r>
      <w:r w:rsidR="001056EF">
        <w:t xml:space="preserve"> </w:t>
      </w:r>
      <w:r>
        <w:t xml:space="preserve">In addition to </w:t>
      </w:r>
      <w:r w:rsidR="000C1EAD">
        <w:t xml:space="preserve">the </w:t>
      </w:r>
      <w:r>
        <w:t>TPIs, the notice type, device type, operating system, discovery software (e.g. a web browser</w:t>
      </w:r>
      <w:r w:rsidR="000C1EAD">
        <w:t>, or app,</w:t>
      </w:r>
      <w:r>
        <w:t xml:space="preserve"> and version), and any search tool</w:t>
      </w:r>
      <w:r w:rsidR="000C1EAD">
        <w:t xml:space="preserve"> can also be identified</w:t>
      </w:r>
      <w:r>
        <w:t xml:space="preserve">. See Appendix </w:t>
      </w:r>
      <w:r w:rsidR="000B3B3E">
        <w:t>A, Supplementary</w:t>
      </w:r>
      <w:r>
        <w:t xml:space="preserve"> capture record. </w:t>
      </w:r>
    </w:p>
    <w:p w14:paraId="2F6B7BE7" w14:textId="50C337C9" w:rsidR="00EF7595" w:rsidRDefault="00544037" w:rsidP="00544037">
      <w:pPr>
        <w:pStyle w:val="Heading2"/>
      </w:pPr>
      <w:bookmarkStart w:id="20" w:name="_Toc193376359"/>
      <w:r>
        <w:t>6</w:t>
      </w:r>
      <w:r w:rsidR="00EF7595" w:rsidRPr="001E5347">
        <w:t xml:space="preserve">.1 </w:t>
      </w:r>
      <w:r>
        <w:t xml:space="preserve">TPI 1 </w:t>
      </w:r>
      <w:r w:rsidR="00192B7B">
        <w:t xml:space="preserve">– </w:t>
      </w:r>
      <w:r>
        <w:t xml:space="preserve">Measuring the </w:t>
      </w:r>
      <w:r w:rsidR="00C76EFA">
        <w:t>T</w:t>
      </w:r>
      <w:r>
        <w:t xml:space="preserve">ime </w:t>
      </w:r>
      <w:r w:rsidR="000B3B3E">
        <w:t>of Controller</w:t>
      </w:r>
      <w:r>
        <w:t xml:space="preserve"> Identification</w:t>
      </w:r>
      <w:bookmarkEnd w:id="20"/>
    </w:p>
    <w:p w14:paraId="2AF34F93" w14:textId="5113E72B" w:rsidR="008A609C" w:rsidRPr="00A74499" w:rsidRDefault="00544037" w:rsidP="001056EF">
      <w:pPr>
        <w:pBdr>
          <w:top w:val="nil"/>
          <w:left w:val="nil"/>
          <w:bottom w:val="nil"/>
          <w:right w:val="nil"/>
          <w:between w:val="nil"/>
        </w:pBdr>
        <w:rPr>
          <w:rFonts w:eastAsia="Times New Roman" w:cs="Arial"/>
          <w:color w:val="000000" w:themeColor="text1"/>
        </w:rPr>
      </w:pPr>
      <w:r w:rsidRPr="0C2E1696">
        <w:rPr>
          <w:rFonts w:eastAsia="Times New Roman" w:cs="Arial"/>
          <w:color w:val="000000" w:themeColor="text1"/>
          <w:sz w:val="24"/>
        </w:rPr>
        <w:t xml:space="preserve">This TPI </w:t>
      </w:r>
      <w:r w:rsidRPr="0C2E1696">
        <w:rPr>
          <w:rFonts w:cs="Arial"/>
        </w:rPr>
        <w:t xml:space="preserve">captures the point in time the notice was presented versus when PII is collected, and </w:t>
      </w:r>
      <w:r w:rsidRPr="0C2E1696">
        <w:rPr>
          <w:rFonts w:cs="Arial"/>
          <w:b/>
          <w:bCs/>
          <w:i/>
          <w:iCs/>
        </w:rPr>
        <w:t>when</w:t>
      </w:r>
      <w:r w:rsidRPr="0C2E1696">
        <w:rPr>
          <w:rFonts w:cs="Arial"/>
        </w:rPr>
        <w:t xml:space="preserve"> PII is processed. </w:t>
      </w:r>
      <w:r w:rsidR="4886F09E" w:rsidRPr="0C2E1696">
        <w:rPr>
          <w:rFonts w:eastAsia="Times New Roman" w:cs="Arial"/>
          <w:color w:val="000000" w:themeColor="text1"/>
        </w:rPr>
        <w:t>Tables 1, 2, and 3 below provide details on the information captured</w:t>
      </w:r>
      <w:r w:rsidR="001056EF">
        <w:rPr>
          <w:rFonts w:eastAsia="Times New Roman" w:cs="Arial"/>
          <w:color w:val="000000" w:themeColor="text1"/>
        </w:rPr>
        <w:t xml:space="preserve">, </w:t>
      </w:r>
      <w:r w:rsidR="4886F09E" w:rsidRPr="0C2E1696">
        <w:rPr>
          <w:rFonts w:eastAsia="Times New Roman" w:cs="Arial"/>
          <w:color w:val="000000" w:themeColor="text1"/>
        </w:rPr>
        <w:t>how it is measured</w:t>
      </w:r>
      <w:r w:rsidR="001056EF">
        <w:rPr>
          <w:rFonts w:eastAsia="Times New Roman" w:cs="Arial"/>
          <w:color w:val="000000" w:themeColor="text1"/>
        </w:rPr>
        <w:t>,</w:t>
      </w:r>
      <w:r w:rsidR="4886F09E" w:rsidRPr="0C2E1696">
        <w:rPr>
          <w:rFonts w:eastAsia="Times New Roman" w:cs="Arial"/>
          <w:color w:val="000000" w:themeColor="text1"/>
        </w:rPr>
        <w:t xml:space="preserve"> and the legal requirements and standards where this TPI shows compliance and adequacy.</w:t>
      </w:r>
    </w:p>
    <w:p w14:paraId="1D7903B9" w14:textId="213F78CC" w:rsidR="008A609C" w:rsidRPr="00EC3A22" w:rsidRDefault="008A609C" w:rsidP="00EC3A22">
      <w:pPr>
        <w:pStyle w:val="Caption"/>
      </w:pPr>
      <w:bookmarkStart w:id="21" w:name="_Toc193376368"/>
      <w:r w:rsidRPr="00EC3A22">
        <w:t xml:space="preserve">Table </w:t>
      </w:r>
      <w:fldSimple w:instr=" SEQ Table \* ARABIC ">
        <w:r w:rsidR="00142FCB" w:rsidRPr="00EC3A22">
          <w:t>1</w:t>
        </w:r>
      </w:fldSimple>
      <w:r w:rsidRPr="00EC3A22">
        <w:t>. TPI 1 Measurement and Description</w:t>
      </w:r>
      <w:bookmarkEnd w:id="21"/>
    </w:p>
    <w:tbl>
      <w:tblPr>
        <w:tblW w:w="9360" w:type="dxa"/>
        <w:jc w:val="center"/>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44037" w14:paraId="54FF083C" w14:textId="77777777" w:rsidTr="00EC3A22">
        <w:trPr>
          <w:jc w:val="center"/>
        </w:trPr>
        <w:tc>
          <w:tcPr>
            <w:tcW w:w="3120" w:type="dxa"/>
            <w:tcBorders>
              <w:top w:val="nil"/>
              <w:right w:val="nil"/>
            </w:tcBorders>
            <w:shd w:val="clear" w:color="auto" w:fill="auto"/>
            <w:tcMar>
              <w:top w:w="100" w:type="dxa"/>
              <w:left w:w="100" w:type="dxa"/>
              <w:bottom w:w="100" w:type="dxa"/>
              <w:right w:w="100" w:type="dxa"/>
            </w:tcMar>
          </w:tcPr>
          <w:p w14:paraId="384B0B98" w14:textId="77777777" w:rsidR="00544037" w:rsidRPr="00655086" w:rsidRDefault="00544037" w:rsidP="001056EF">
            <w:pPr>
              <w:widowControl w:val="0"/>
              <w:pBdr>
                <w:top w:val="nil"/>
                <w:left w:val="nil"/>
                <w:bottom w:val="nil"/>
                <w:right w:val="nil"/>
                <w:between w:val="nil"/>
              </w:pBdr>
              <w:rPr>
                <w:bCs/>
                <w:sz w:val="20"/>
                <w:szCs w:val="20"/>
              </w:rPr>
            </w:pPr>
            <w:r w:rsidRPr="00655086">
              <w:rPr>
                <w:bCs/>
                <w:sz w:val="20"/>
                <w:szCs w:val="20"/>
              </w:rPr>
              <w:t>TPI 1 - Timing Measure</w:t>
            </w:r>
          </w:p>
        </w:tc>
        <w:tc>
          <w:tcPr>
            <w:tcW w:w="3120" w:type="dxa"/>
            <w:tcBorders>
              <w:top w:val="nil"/>
              <w:left w:val="nil"/>
              <w:right w:val="nil"/>
            </w:tcBorders>
            <w:shd w:val="clear" w:color="auto" w:fill="auto"/>
            <w:tcMar>
              <w:top w:w="100" w:type="dxa"/>
              <w:left w:w="100" w:type="dxa"/>
              <w:bottom w:w="100" w:type="dxa"/>
              <w:right w:w="100" w:type="dxa"/>
            </w:tcMar>
          </w:tcPr>
          <w:p w14:paraId="320889BB" w14:textId="77777777" w:rsidR="00544037" w:rsidRPr="00655086" w:rsidRDefault="00544037" w:rsidP="00655086">
            <w:pPr>
              <w:widowControl w:val="0"/>
              <w:pBdr>
                <w:top w:val="nil"/>
                <w:left w:val="nil"/>
                <w:bottom w:val="nil"/>
                <w:right w:val="nil"/>
                <w:between w:val="nil"/>
              </w:pBdr>
              <w:rPr>
                <w:bCs/>
                <w:sz w:val="20"/>
                <w:szCs w:val="20"/>
              </w:rPr>
            </w:pPr>
            <w:r w:rsidRPr="00655086">
              <w:rPr>
                <w:bCs/>
                <w:sz w:val="20"/>
                <w:szCs w:val="20"/>
              </w:rPr>
              <w:t>Description</w:t>
            </w:r>
          </w:p>
        </w:tc>
        <w:tc>
          <w:tcPr>
            <w:tcW w:w="3120" w:type="dxa"/>
            <w:tcBorders>
              <w:top w:val="nil"/>
              <w:left w:val="nil"/>
            </w:tcBorders>
            <w:shd w:val="clear" w:color="auto" w:fill="auto"/>
            <w:tcMar>
              <w:top w:w="100" w:type="dxa"/>
              <w:left w:w="100" w:type="dxa"/>
              <w:bottom w:w="100" w:type="dxa"/>
              <w:right w:w="100" w:type="dxa"/>
            </w:tcMar>
          </w:tcPr>
          <w:p w14:paraId="0C9897AA" w14:textId="77777777" w:rsidR="00544037" w:rsidRPr="00655086" w:rsidRDefault="00544037" w:rsidP="00655086">
            <w:pPr>
              <w:widowControl w:val="0"/>
              <w:pBdr>
                <w:top w:val="nil"/>
                <w:left w:val="nil"/>
                <w:bottom w:val="nil"/>
                <w:right w:val="nil"/>
                <w:between w:val="nil"/>
              </w:pBdr>
              <w:jc w:val="center"/>
              <w:rPr>
                <w:bCs/>
                <w:sz w:val="20"/>
                <w:szCs w:val="20"/>
              </w:rPr>
            </w:pPr>
            <w:r w:rsidRPr="00655086">
              <w:rPr>
                <w:bCs/>
                <w:sz w:val="20"/>
                <w:szCs w:val="20"/>
              </w:rPr>
              <w:t>Measure</w:t>
            </w:r>
          </w:p>
        </w:tc>
      </w:tr>
      <w:tr w:rsidR="00544037" w14:paraId="665A2BAE" w14:textId="77777777" w:rsidTr="009D297E">
        <w:trPr>
          <w:jc w:val="center"/>
        </w:trPr>
        <w:tc>
          <w:tcPr>
            <w:tcW w:w="312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56EBB778" w14:textId="77777777" w:rsidR="00544037" w:rsidRPr="00655086" w:rsidRDefault="00544037" w:rsidP="00BC1B3F">
            <w:pPr>
              <w:rPr>
                <w:bCs/>
                <w:sz w:val="20"/>
                <w:szCs w:val="20"/>
              </w:rPr>
            </w:pPr>
            <w:r w:rsidRPr="00655086">
              <w:rPr>
                <w:bCs/>
                <w:sz w:val="20"/>
                <w:szCs w:val="20"/>
              </w:rPr>
              <w:t xml:space="preserve">Before collecting PII </w:t>
            </w:r>
          </w:p>
        </w:tc>
        <w:tc>
          <w:tcPr>
            <w:tcW w:w="312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2BEA4FFC" w14:textId="77777777" w:rsidR="00544037" w:rsidRPr="00655086" w:rsidRDefault="00544037" w:rsidP="00BC1B3F">
            <w:pPr>
              <w:widowControl w:val="0"/>
              <w:pBdr>
                <w:top w:val="nil"/>
                <w:left w:val="nil"/>
                <w:bottom w:val="nil"/>
                <w:right w:val="nil"/>
                <w:between w:val="nil"/>
              </w:pBdr>
              <w:rPr>
                <w:bCs/>
                <w:sz w:val="20"/>
                <w:szCs w:val="20"/>
              </w:rPr>
            </w:pPr>
            <w:r w:rsidRPr="00655086">
              <w:rPr>
                <w:bCs/>
                <w:sz w:val="20"/>
                <w:szCs w:val="20"/>
              </w:rPr>
              <w:t>Controller identification is presented before data is collected</w:t>
            </w:r>
          </w:p>
        </w:tc>
        <w:tc>
          <w:tcPr>
            <w:tcW w:w="3120"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570B44C5" w14:textId="77777777" w:rsidR="00544037" w:rsidRPr="00655086" w:rsidRDefault="00544037" w:rsidP="00BC1B3F">
            <w:pPr>
              <w:widowControl w:val="0"/>
              <w:pBdr>
                <w:top w:val="nil"/>
                <w:left w:val="nil"/>
                <w:bottom w:val="nil"/>
                <w:right w:val="nil"/>
                <w:between w:val="nil"/>
              </w:pBdr>
              <w:jc w:val="center"/>
              <w:rPr>
                <w:bCs/>
                <w:sz w:val="20"/>
                <w:szCs w:val="20"/>
              </w:rPr>
            </w:pPr>
            <w:r w:rsidRPr="00655086">
              <w:rPr>
                <w:bCs/>
                <w:sz w:val="20"/>
                <w:szCs w:val="20"/>
              </w:rPr>
              <w:t>+1</w:t>
            </w:r>
          </w:p>
        </w:tc>
      </w:tr>
      <w:tr w:rsidR="009D297E" w14:paraId="6209FF36" w14:textId="77777777" w:rsidTr="00EC3A22">
        <w:trPr>
          <w:jc w:val="center"/>
        </w:trPr>
        <w:tc>
          <w:tcPr>
            <w:tcW w:w="3120" w:type="dxa"/>
            <w:tcBorders>
              <w:top w:val="single" w:sz="8" w:space="0" w:color="000000"/>
              <w:right w:val="nil"/>
            </w:tcBorders>
            <w:shd w:val="clear" w:color="auto" w:fill="auto"/>
            <w:tcMar>
              <w:top w:w="100" w:type="dxa"/>
              <w:left w:w="100" w:type="dxa"/>
              <w:bottom w:w="100" w:type="dxa"/>
              <w:right w:w="100" w:type="dxa"/>
            </w:tcMar>
          </w:tcPr>
          <w:p w14:paraId="246282AC" w14:textId="2C828685" w:rsidR="009D297E" w:rsidRPr="00655086" w:rsidRDefault="009D297E" w:rsidP="00BC1B3F">
            <w:pPr>
              <w:rPr>
                <w:bCs/>
                <w:sz w:val="20"/>
                <w:szCs w:val="20"/>
              </w:rPr>
            </w:pPr>
            <w:r w:rsidRPr="00655086">
              <w:rPr>
                <w:bCs/>
                <w:sz w:val="20"/>
                <w:szCs w:val="20"/>
              </w:rPr>
              <w:t>Before processing PII</w:t>
            </w:r>
          </w:p>
        </w:tc>
        <w:tc>
          <w:tcPr>
            <w:tcW w:w="3120" w:type="dxa"/>
            <w:tcBorders>
              <w:top w:val="single" w:sz="8" w:space="0" w:color="000000"/>
              <w:left w:val="nil"/>
              <w:right w:val="nil"/>
            </w:tcBorders>
            <w:shd w:val="clear" w:color="auto" w:fill="auto"/>
            <w:tcMar>
              <w:top w:w="100" w:type="dxa"/>
              <w:left w:w="100" w:type="dxa"/>
              <w:bottom w:w="100" w:type="dxa"/>
              <w:right w:w="100" w:type="dxa"/>
            </w:tcMar>
          </w:tcPr>
          <w:p w14:paraId="723BBD79" w14:textId="049577F9" w:rsidR="009D297E" w:rsidRPr="00655086" w:rsidRDefault="009D297E" w:rsidP="00BC1B3F">
            <w:pPr>
              <w:widowControl w:val="0"/>
              <w:pBdr>
                <w:top w:val="nil"/>
                <w:left w:val="nil"/>
                <w:bottom w:val="nil"/>
                <w:right w:val="nil"/>
                <w:between w:val="nil"/>
              </w:pBdr>
              <w:rPr>
                <w:bCs/>
                <w:sz w:val="20"/>
                <w:szCs w:val="20"/>
              </w:rPr>
            </w:pPr>
            <w:r w:rsidRPr="00655086">
              <w:rPr>
                <w:bCs/>
                <w:sz w:val="20"/>
                <w:szCs w:val="20"/>
              </w:rPr>
              <w:t>Controller identification was provided before collected data was processed</w:t>
            </w:r>
          </w:p>
        </w:tc>
        <w:tc>
          <w:tcPr>
            <w:tcW w:w="3120" w:type="dxa"/>
            <w:tcBorders>
              <w:top w:val="single" w:sz="8" w:space="0" w:color="000000"/>
              <w:left w:val="nil"/>
            </w:tcBorders>
            <w:shd w:val="clear" w:color="auto" w:fill="auto"/>
            <w:tcMar>
              <w:top w:w="100" w:type="dxa"/>
              <w:left w:w="100" w:type="dxa"/>
              <w:bottom w:w="100" w:type="dxa"/>
              <w:right w:w="100" w:type="dxa"/>
            </w:tcMar>
          </w:tcPr>
          <w:p w14:paraId="78E0C59D" w14:textId="38A34340" w:rsidR="009D297E" w:rsidRPr="00655086" w:rsidRDefault="009D297E" w:rsidP="00BC1B3F">
            <w:pPr>
              <w:widowControl w:val="0"/>
              <w:pBdr>
                <w:top w:val="nil"/>
                <w:left w:val="nil"/>
                <w:bottom w:val="nil"/>
                <w:right w:val="nil"/>
                <w:between w:val="nil"/>
              </w:pBdr>
              <w:jc w:val="center"/>
              <w:rPr>
                <w:bCs/>
                <w:sz w:val="20"/>
                <w:szCs w:val="20"/>
              </w:rPr>
            </w:pPr>
            <w:r w:rsidRPr="00655086">
              <w:rPr>
                <w:bCs/>
                <w:sz w:val="20"/>
                <w:szCs w:val="20"/>
              </w:rPr>
              <w:t>0</w:t>
            </w:r>
          </w:p>
        </w:tc>
      </w:tr>
    </w:tbl>
    <w:p w14:paraId="4956A713" w14:textId="25746B0B" w:rsidR="009D297E" w:rsidRPr="009D297E" w:rsidRDefault="00EC3A22" w:rsidP="001F73B5">
      <w:pPr>
        <w:rPr>
          <w:i/>
          <w:iCs/>
          <w:sz w:val="18"/>
          <w:szCs w:val="18"/>
        </w:rPr>
      </w:pPr>
      <w:r>
        <w:tab/>
      </w:r>
      <w:r>
        <w:tab/>
      </w:r>
      <w:r>
        <w:tab/>
      </w:r>
      <w:r>
        <w:tab/>
      </w:r>
      <w:r>
        <w:tab/>
      </w:r>
      <w:r>
        <w:tab/>
      </w:r>
      <w:r>
        <w:tab/>
      </w:r>
      <w:r>
        <w:tab/>
      </w:r>
      <w:r>
        <w:tab/>
      </w:r>
      <w:r w:rsidRPr="00EC3A22">
        <w:rPr>
          <w:i/>
          <w:iCs/>
          <w:color w:val="2C3E50"/>
          <w:sz w:val="18"/>
          <w:szCs w:val="18"/>
        </w:rPr>
        <w:t>(table 1 continued on next page)</w:t>
      </w:r>
    </w:p>
    <w:p w14:paraId="1D5C1025" w14:textId="19186582" w:rsidR="00EC3A22" w:rsidRPr="001F73B5" w:rsidRDefault="005E1FFC" w:rsidP="001F73B5">
      <w:pPr>
        <w:rPr>
          <w:i/>
          <w:iCs/>
          <w:color w:val="2C3E50"/>
          <w:sz w:val="18"/>
          <w:szCs w:val="18"/>
        </w:rPr>
      </w:pPr>
      <w:r>
        <w:rPr>
          <w:i/>
          <w:iCs/>
          <w:color w:val="2C3E50"/>
          <w:sz w:val="18"/>
          <w:szCs w:val="18"/>
        </w:rPr>
        <w:lastRenderedPageBreak/>
        <w:t>Table 1. TPI 1 Measurement and Description cont.</w:t>
      </w:r>
    </w:p>
    <w:tbl>
      <w:tblPr>
        <w:tblW w:w="9360" w:type="dxa"/>
        <w:jc w:val="center"/>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C3A22" w14:paraId="6321931D" w14:textId="77777777" w:rsidTr="00075967">
        <w:trPr>
          <w:jc w:val="center"/>
        </w:trPr>
        <w:tc>
          <w:tcPr>
            <w:tcW w:w="3120" w:type="dxa"/>
            <w:tcBorders>
              <w:top w:val="nil"/>
              <w:right w:val="nil"/>
            </w:tcBorders>
            <w:shd w:val="clear" w:color="auto" w:fill="auto"/>
            <w:tcMar>
              <w:top w:w="100" w:type="dxa"/>
              <w:left w:w="100" w:type="dxa"/>
              <w:bottom w:w="100" w:type="dxa"/>
              <w:right w:w="100" w:type="dxa"/>
            </w:tcMar>
          </w:tcPr>
          <w:p w14:paraId="5D16FF3B" w14:textId="77777777" w:rsidR="00EC3A22" w:rsidRPr="00655086" w:rsidRDefault="00EC3A22" w:rsidP="00075967">
            <w:pPr>
              <w:widowControl w:val="0"/>
              <w:pBdr>
                <w:top w:val="nil"/>
                <w:left w:val="nil"/>
                <w:bottom w:val="nil"/>
                <w:right w:val="nil"/>
                <w:between w:val="nil"/>
              </w:pBdr>
              <w:rPr>
                <w:bCs/>
                <w:sz w:val="20"/>
                <w:szCs w:val="20"/>
              </w:rPr>
            </w:pPr>
            <w:r w:rsidRPr="00655086">
              <w:rPr>
                <w:bCs/>
                <w:sz w:val="20"/>
                <w:szCs w:val="20"/>
              </w:rPr>
              <w:t>TPI 1 - Timing Measure</w:t>
            </w:r>
          </w:p>
        </w:tc>
        <w:tc>
          <w:tcPr>
            <w:tcW w:w="3120" w:type="dxa"/>
            <w:tcBorders>
              <w:top w:val="nil"/>
              <w:left w:val="nil"/>
              <w:right w:val="nil"/>
            </w:tcBorders>
            <w:shd w:val="clear" w:color="auto" w:fill="auto"/>
            <w:tcMar>
              <w:top w:w="100" w:type="dxa"/>
              <w:left w:w="100" w:type="dxa"/>
              <w:bottom w:w="100" w:type="dxa"/>
              <w:right w:w="100" w:type="dxa"/>
            </w:tcMar>
          </w:tcPr>
          <w:p w14:paraId="564A72EB" w14:textId="77777777" w:rsidR="00EC3A22" w:rsidRPr="00655086" w:rsidRDefault="00EC3A22" w:rsidP="00075967">
            <w:pPr>
              <w:widowControl w:val="0"/>
              <w:pBdr>
                <w:top w:val="nil"/>
                <w:left w:val="nil"/>
                <w:bottom w:val="nil"/>
                <w:right w:val="nil"/>
                <w:between w:val="nil"/>
              </w:pBdr>
              <w:rPr>
                <w:bCs/>
                <w:sz w:val="20"/>
                <w:szCs w:val="20"/>
              </w:rPr>
            </w:pPr>
            <w:r w:rsidRPr="00655086">
              <w:rPr>
                <w:bCs/>
                <w:sz w:val="20"/>
                <w:szCs w:val="20"/>
              </w:rPr>
              <w:t>Description</w:t>
            </w:r>
          </w:p>
        </w:tc>
        <w:tc>
          <w:tcPr>
            <w:tcW w:w="3120" w:type="dxa"/>
            <w:tcBorders>
              <w:top w:val="nil"/>
              <w:left w:val="nil"/>
            </w:tcBorders>
            <w:shd w:val="clear" w:color="auto" w:fill="auto"/>
            <w:tcMar>
              <w:top w:w="100" w:type="dxa"/>
              <w:left w:w="100" w:type="dxa"/>
              <w:bottom w:w="100" w:type="dxa"/>
              <w:right w:w="100" w:type="dxa"/>
            </w:tcMar>
          </w:tcPr>
          <w:p w14:paraId="01277E36" w14:textId="77777777" w:rsidR="00EC3A22" w:rsidRPr="00655086" w:rsidRDefault="00EC3A22" w:rsidP="00075967">
            <w:pPr>
              <w:widowControl w:val="0"/>
              <w:pBdr>
                <w:top w:val="nil"/>
                <w:left w:val="nil"/>
                <w:bottom w:val="nil"/>
                <w:right w:val="nil"/>
                <w:between w:val="nil"/>
              </w:pBdr>
              <w:jc w:val="center"/>
              <w:rPr>
                <w:bCs/>
                <w:sz w:val="20"/>
                <w:szCs w:val="20"/>
              </w:rPr>
            </w:pPr>
            <w:r w:rsidRPr="00655086">
              <w:rPr>
                <w:bCs/>
                <w:sz w:val="20"/>
                <w:szCs w:val="20"/>
              </w:rPr>
              <w:t>Measure</w:t>
            </w:r>
          </w:p>
        </w:tc>
      </w:tr>
      <w:tr w:rsidR="00EC3A22" w14:paraId="458592AE" w14:textId="77777777" w:rsidTr="00075967">
        <w:trPr>
          <w:jc w:val="center"/>
        </w:trPr>
        <w:tc>
          <w:tcPr>
            <w:tcW w:w="3120" w:type="dxa"/>
            <w:tcBorders>
              <w:top w:val="single" w:sz="8" w:space="0" w:color="000000"/>
              <w:right w:val="nil"/>
            </w:tcBorders>
            <w:shd w:val="clear" w:color="auto" w:fill="auto"/>
            <w:tcMar>
              <w:top w:w="100" w:type="dxa"/>
              <w:left w:w="100" w:type="dxa"/>
              <w:bottom w:w="100" w:type="dxa"/>
              <w:right w:w="100" w:type="dxa"/>
            </w:tcMar>
          </w:tcPr>
          <w:p w14:paraId="0E3D578B" w14:textId="77777777" w:rsidR="00EC3A22" w:rsidRPr="00655086" w:rsidRDefault="00EC3A22" w:rsidP="00075967">
            <w:pPr>
              <w:rPr>
                <w:bCs/>
                <w:sz w:val="20"/>
                <w:szCs w:val="20"/>
              </w:rPr>
            </w:pPr>
            <w:r w:rsidRPr="00655086">
              <w:rPr>
                <w:bCs/>
                <w:sz w:val="20"/>
                <w:szCs w:val="20"/>
              </w:rPr>
              <w:t>After collection and processing of PII</w:t>
            </w:r>
          </w:p>
        </w:tc>
        <w:tc>
          <w:tcPr>
            <w:tcW w:w="3120" w:type="dxa"/>
            <w:tcBorders>
              <w:top w:val="single" w:sz="8" w:space="0" w:color="000000"/>
              <w:left w:val="nil"/>
              <w:right w:val="nil"/>
            </w:tcBorders>
            <w:shd w:val="clear" w:color="auto" w:fill="auto"/>
            <w:tcMar>
              <w:top w:w="100" w:type="dxa"/>
              <w:left w:w="100" w:type="dxa"/>
              <w:bottom w:w="100" w:type="dxa"/>
              <w:right w:w="100" w:type="dxa"/>
            </w:tcMar>
          </w:tcPr>
          <w:p w14:paraId="62542FC8" w14:textId="77777777" w:rsidR="00EC3A22" w:rsidRPr="00655086" w:rsidRDefault="00EC3A22" w:rsidP="00075967">
            <w:pPr>
              <w:widowControl w:val="0"/>
              <w:pBdr>
                <w:top w:val="nil"/>
                <w:left w:val="nil"/>
                <w:bottom w:val="nil"/>
                <w:right w:val="nil"/>
                <w:between w:val="nil"/>
              </w:pBdr>
              <w:rPr>
                <w:bCs/>
                <w:sz w:val="20"/>
                <w:szCs w:val="20"/>
              </w:rPr>
            </w:pPr>
            <w:r w:rsidRPr="00655086">
              <w:rPr>
                <w:bCs/>
                <w:sz w:val="20"/>
                <w:szCs w:val="20"/>
              </w:rPr>
              <w:t>Controller identification was provided after processing</w:t>
            </w:r>
          </w:p>
        </w:tc>
        <w:tc>
          <w:tcPr>
            <w:tcW w:w="3120" w:type="dxa"/>
            <w:tcBorders>
              <w:top w:val="single" w:sz="8" w:space="0" w:color="000000"/>
              <w:left w:val="nil"/>
            </w:tcBorders>
            <w:shd w:val="clear" w:color="auto" w:fill="auto"/>
            <w:tcMar>
              <w:top w:w="100" w:type="dxa"/>
              <w:left w:w="100" w:type="dxa"/>
              <w:bottom w:w="100" w:type="dxa"/>
              <w:right w:w="100" w:type="dxa"/>
            </w:tcMar>
          </w:tcPr>
          <w:p w14:paraId="52BA0603" w14:textId="77777777" w:rsidR="00EC3A22" w:rsidRPr="00655086" w:rsidRDefault="00EC3A22" w:rsidP="00075967">
            <w:pPr>
              <w:widowControl w:val="0"/>
              <w:pBdr>
                <w:top w:val="nil"/>
                <w:left w:val="nil"/>
                <w:bottom w:val="nil"/>
                <w:right w:val="nil"/>
                <w:between w:val="nil"/>
              </w:pBdr>
              <w:jc w:val="center"/>
              <w:rPr>
                <w:bCs/>
                <w:sz w:val="20"/>
                <w:szCs w:val="20"/>
              </w:rPr>
            </w:pPr>
            <w:r w:rsidRPr="00655086">
              <w:rPr>
                <w:bCs/>
                <w:sz w:val="20"/>
                <w:szCs w:val="20"/>
              </w:rPr>
              <w:t>-1</w:t>
            </w:r>
          </w:p>
        </w:tc>
      </w:tr>
    </w:tbl>
    <w:p w14:paraId="62BC07B5" w14:textId="77777777" w:rsidR="00EC3A22" w:rsidRDefault="00EC3A22" w:rsidP="00EF7595"/>
    <w:p w14:paraId="30560E14" w14:textId="49DC1E14" w:rsidR="00544037" w:rsidRPr="001056EF" w:rsidRDefault="00544037" w:rsidP="001056EF">
      <w:pPr>
        <w:pStyle w:val="Heading3"/>
      </w:pPr>
      <w:r>
        <w:t>6</w:t>
      </w:r>
      <w:r w:rsidR="00EF7595" w:rsidRPr="001E5347">
        <w:t xml:space="preserve">.1.1 </w:t>
      </w:r>
      <w:r>
        <w:t>Analysis</w:t>
      </w:r>
    </w:p>
    <w:p w14:paraId="00AD5C54" w14:textId="169F3440" w:rsidR="00026E2F" w:rsidRPr="00EC3A22" w:rsidRDefault="00026E2F" w:rsidP="00EC3A22">
      <w:pPr>
        <w:pStyle w:val="Caption"/>
      </w:pPr>
      <w:bookmarkStart w:id="22" w:name="_Toc193376369"/>
      <w:r w:rsidRPr="00EC3A22">
        <w:t xml:space="preserve">Table </w:t>
      </w:r>
      <w:fldSimple w:instr=" SEQ Table \* ARABIC ">
        <w:r w:rsidR="00142FCB" w:rsidRPr="00EC3A22">
          <w:t>2</w:t>
        </w:r>
      </w:fldSimple>
      <w:r w:rsidRPr="00EC3A22">
        <w:t>. TPI 1 Analysis of Timing</w:t>
      </w:r>
      <w:bookmarkEnd w:id="22"/>
    </w:p>
    <w:tbl>
      <w:tblPr>
        <w:tblW w:w="7560" w:type="dxa"/>
        <w:jc w:val="center"/>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4440"/>
      </w:tblGrid>
      <w:tr w:rsidR="00544037" w14:paraId="091FAE78" w14:textId="77777777" w:rsidTr="00655086">
        <w:trPr>
          <w:jc w:val="center"/>
        </w:trPr>
        <w:tc>
          <w:tcPr>
            <w:tcW w:w="3120" w:type="dxa"/>
            <w:tcBorders>
              <w:top w:val="single" w:sz="8" w:space="0" w:color="000000"/>
              <w:right w:val="nil"/>
            </w:tcBorders>
            <w:shd w:val="clear" w:color="auto" w:fill="auto"/>
            <w:tcMar>
              <w:top w:w="100" w:type="dxa"/>
              <w:left w:w="100" w:type="dxa"/>
              <w:bottom w:w="100" w:type="dxa"/>
              <w:right w:w="100" w:type="dxa"/>
            </w:tcMar>
            <w:vAlign w:val="bottom"/>
          </w:tcPr>
          <w:p w14:paraId="4DA4BA0F" w14:textId="77777777" w:rsidR="00544037" w:rsidRPr="00655086" w:rsidRDefault="00544037" w:rsidP="001056EF">
            <w:pPr>
              <w:widowControl w:val="0"/>
              <w:pBdr>
                <w:top w:val="nil"/>
                <w:left w:val="nil"/>
                <w:bottom w:val="nil"/>
                <w:right w:val="nil"/>
                <w:between w:val="nil"/>
              </w:pBdr>
              <w:rPr>
                <w:bCs/>
                <w:sz w:val="20"/>
                <w:szCs w:val="20"/>
              </w:rPr>
            </w:pPr>
            <w:r w:rsidRPr="00655086">
              <w:rPr>
                <w:bCs/>
                <w:sz w:val="20"/>
                <w:szCs w:val="20"/>
              </w:rPr>
              <w:t xml:space="preserve">Result </w:t>
            </w:r>
          </w:p>
        </w:tc>
        <w:tc>
          <w:tcPr>
            <w:tcW w:w="4440" w:type="dxa"/>
            <w:tcBorders>
              <w:top w:val="single" w:sz="8" w:space="0" w:color="000000"/>
              <w:left w:val="nil"/>
            </w:tcBorders>
            <w:shd w:val="clear" w:color="auto" w:fill="auto"/>
            <w:tcMar>
              <w:top w:w="100" w:type="dxa"/>
              <w:left w:w="100" w:type="dxa"/>
              <w:bottom w:w="100" w:type="dxa"/>
              <w:right w:w="100" w:type="dxa"/>
            </w:tcMar>
            <w:vAlign w:val="bottom"/>
          </w:tcPr>
          <w:p w14:paraId="4382B9D3" w14:textId="77777777" w:rsidR="00544037" w:rsidRPr="00655086" w:rsidRDefault="00544037" w:rsidP="00655086">
            <w:pPr>
              <w:rPr>
                <w:bCs/>
                <w:sz w:val="20"/>
                <w:szCs w:val="20"/>
              </w:rPr>
            </w:pPr>
            <w:r w:rsidRPr="00655086">
              <w:rPr>
                <w:bCs/>
                <w:sz w:val="20"/>
                <w:szCs w:val="20"/>
              </w:rPr>
              <w:t>Analysis</w:t>
            </w:r>
          </w:p>
        </w:tc>
      </w:tr>
      <w:tr w:rsidR="00544037" w14:paraId="551021B2" w14:textId="77777777" w:rsidTr="00BC1B3F">
        <w:trPr>
          <w:jc w:val="center"/>
        </w:trPr>
        <w:tc>
          <w:tcPr>
            <w:tcW w:w="3120" w:type="dxa"/>
            <w:tcBorders>
              <w:top w:val="single" w:sz="8" w:space="0" w:color="000000"/>
              <w:right w:val="nil"/>
            </w:tcBorders>
            <w:shd w:val="clear" w:color="auto" w:fill="auto"/>
            <w:tcMar>
              <w:top w:w="100" w:type="dxa"/>
              <w:left w:w="100" w:type="dxa"/>
              <w:bottom w:w="100" w:type="dxa"/>
              <w:right w:w="100" w:type="dxa"/>
            </w:tcMar>
          </w:tcPr>
          <w:p w14:paraId="1F74EAC4" w14:textId="77777777" w:rsidR="00544037" w:rsidRPr="00655086" w:rsidRDefault="00544037" w:rsidP="00BC1B3F">
            <w:pPr>
              <w:widowControl w:val="0"/>
              <w:pBdr>
                <w:top w:val="nil"/>
                <w:left w:val="nil"/>
                <w:bottom w:val="nil"/>
                <w:right w:val="nil"/>
                <w:between w:val="nil"/>
              </w:pBdr>
              <w:rPr>
                <w:sz w:val="20"/>
                <w:szCs w:val="20"/>
              </w:rPr>
            </w:pPr>
            <w:r w:rsidRPr="00655086">
              <w:rPr>
                <w:sz w:val="20"/>
                <w:szCs w:val="20"/>
              </w:rPr>
              <w:t xml:space="preserve">+1 </w:t>
            </w:r>
          </w:p>
        </w:tc>
        <w:tc>
          <w:tcPr>
            <w:tcW w:w="4440" w:type="dxa"/>
            <w:tcBorders>
              <w:top w:val="single" w:sz="8" w:space="0" w:color="000000"/>
              <w:left w:val="nil"/>
            </w:tcBorders>
            <w:shd w:val="clear" w:color="auto" w:fill="auto"/>
            <w:tcMar>
              <w:top w:w="100" w:type="dxa"/>
              <w:left w:w="100" w:type="dxa"/>
              <w:bottom w:w="100" w:type="dxa"/>
              <w:right w:w="100" w:type="dxa"/>
            </w:tcMar>
          </w:tcPr>
          <w:p w14:paraId="635F2B61" w14:textId="4BA15BD4" w:rsidR="00544037" w:rsidRPr="00655086" w:rsidRDefault="00544037" w:rsidP="00BC1B3F">
            <w:pPr>
              <w:rPr>
                <w:sz w:val="20"/>
                <w:szCs w:val="20"/>
              </w:rPr>
            </w:pPr>
            <w:r w:rsidRPr="00655086">
              <w:rPr>
                <w:sz w:val="20"/>
                <w:szCs w:val="20"/>
              </w:rPr>
              <w:t>For valid consent, the controller identification MUST be presented prior to processing.</w:t>
            </w:r>
          </w:p>
        </w:tc>
      </w:tr>
      <w:tr w:rsidR="00544037" w14:paraId="17651B90" w14:textId="77777777" w:rsidTr="00BC1B3F">
        <w:trPr>
          <w:jc w:val="center"/>
        </w:trPr>
        <w:tc>
          <w:tcPr>
            <w:tcW w:w="3120" w:type="dxa"/>
            <w:tcBorders>
              <w:top w:val="single" w:sz="8" w:space="0" w:color="000000"/>
              <w:right w:val="nil"/>
            </w:tcBorders>
            <w:shd w:val="clear" w:color="auto" w:fill="auto"/>
            <w:tcMar>
              <w:top w:w="100" w:type="dxa"/>
              <w:left w:w="100" w:type="dxa"/>
              <w:bottom w:w="100" w:type="dxa"/>
              <w:right w:w="100" w:type="dxa"/>
            </w:tcMar>
          </w:tcPr>
          <w:p w14:paraId="66E9945C" w14:textId="77777777" w:rsidR="00544037" w:rsidRPr="00655086" w:rsidRDefault="00544037" w:rsidP="00BC1B3F">
            <w:pPr>
              <w:widowControl w:val="0"/>
              <w:pBdr>
                <w:top w:val="nil"/>
                <w:left w:val="nil"/>
                <w:bottom w:val="nil"/>
                <w:right w:val="nil"/>
                <w:between w:val="nil"/>
              </w:pBdr>
              <w:rPr>
                <w:sz w:val="20"/>
                <w:szCs w:val="20"/>
              </w:rPr>
            </w:pPr>
            <w:r w:rsidRPr="00655086">
              <w:rPr>
                <w:sz w:val="20"/>
                <w:szCs w:val="20"/>
              </w:rPr>
              <w:t>0</w:t>
            </w:r>
          </w:p>
        </w:tc>
        <w:tc>
          <w:tcPr>
            <w:tcW w:w="4440" w:type="dxa"/>
            <w:tcBorders>
              <w:top w:val="single" w:sz="8" w:space="0" w:color="000000"/>
              <w:left w:val="nil"/>
            </w:tcBorders>
            <w:shd w:val="clear" w:color="auto" w:fill="auto"/>
            <w:tcMar>
              <w:top w:w="100" w:type="dxa"/>
              <w:left w:w="100" w:type="dxa"/>
              <w:bottom w:w="100" w:type="dxa"/>
              <w:right w:w="100" w:type="dxa"/>
            </w:tcMar>
          </w:tcPr>
          <w:p w14:paraId="29ED8070" w14:textId="77777777" w:rsidR="00544037" w:rsidRPr="00655086" w:rsidRDefault="00544037" w:rsidP="00BC1B3F">
            <w:pPr>
              <w:rPr>
                <w:sz w:val="20"/>
                <w:szCs w:val="20"/>
              </w:rPr>
            </w:pPr>
            <w:r w:rsidRPr="00655086">
              <w:rPr>
                <w:sz w:val="20"/>
                <w:szCs w:val="20"/>
              </w:rPr>
              <w:t>If the Controller, or Joint Controllers identification is presented after data is collected but before processed then consent is valid, only if the PII is not sensitive, and not collected in a sensitive context, not a minor or vulnerable person, is fair and not deceptive, or is pseudonymous, and is not disclosed, or shared with an unknown 3rd party PII controller, or processor.</w:t>
            </w:r>
          </w:p>
        </w:tc>
      </w:tr>
      <w:tr w:rsidR="00544037" w14:paraId="64AC3D61" w14:textId="77777777" w:rsidTr="00BC1B3F">
        <w:trPr>
          <w:jc w:val="center"/>
        </w:trPr>
        <w:tc>
          <w:tcPr>
            <w:tcW w:w="3120" w:type="dxa"/>
            <w:tcBorders>
              <w:top w:val="single" w:sz="8" w:space="0" w:color="000000"/>
              <w:right w:val="nil"/>
            </w:tcBorders>
            <w:shd w:val="clear" w:color="auto" w:fill="auto"/>
            <w:tcMar>
              <w:top w:w="100" w:type="dxa"/>
              <w:left w:w="100" w:type="dxa"/>
              <w:bottom w:w="100" w:type="dxa"/>
              <w:right w:w="100" w:type="dxa"/>
            </w:tcMar>
          </w:tcPr>
          <w:p w14:paraId="1CDF12BF" w14:textId="77777777" w:rsidR="00544037" w:rsidRPr="00655086" w:rsidRDefault="00544037" w:rsidP="00BC1B3F">
            <w:pPr>
              <w:widowControl w:val="0"/>
              <w:pBdr>
                <w:top w:val="nil"/>
                <w:left w:val="nil"/>
                <w:bottom w:val="nil"/>
                <w:right w:val="nil"/>
                <w:between w:val="nil"/>
              </w:pBdr>
              <w:rPr>
                <w:sz w:val="20"/>
                <w:szCs w:val="20"/>
              </w:rPr>
            </w:pPr>
            <w:r w:rsidRPr="00655086">
              <w:rPr>
                <w:sz w:val="20"/>
                <w:szCs w:val="20"/>
              </w:rPr>
              <w:t>-1</w:t>
            </w:r>
          </w:p>
        </w:tc>
        <w:tc>
          <w:tcPr>
            <w:tcW w:w="4440" w:type="dxa"/>
            <w:tcBorders>
              <w:top w:val="single" w:sz="8" w:space="0" w:color="000000"/>
              <w:left w:val="nil"/>
            </w:tcBorders>
            <w:shd w:val="clear" w:color="auto" w:fill="auto"/>
            <w:tcMar>
              <w:top w:w="100" w:type="dxa"/>
              <w:left w:w="100" w:type="dxa"/>
              <w:bottom w:w="100" w:type="dxa"/>
              <w:right w:w="100" w:type="dxa"/>
            </w:tcMar>
          </w:tcPr>
          <w:p w14:paraId="34DEDC0A" w14:textId="084CA9E3" w:rsidR="00544037" w:rsidRPr="00655086" w:rsidRDefault="00544037" w:rsidP="00BC1B3F">
            <w:pPr>
              <w:rPr>
                <w:sz w:val="20"/>
                <w:szCs w:val="20"/>
              </w:rPr>
            </w:pPr>
            <w:r w:rsidRPr="00655086">
              <w:rPr>
                <w:sz w:val="20"/>
                <w:szCs w:val="20"/>
              </w:rPr>
              <w:t>If the Controller, or Joint Controller Identification is provided after collection and processing of PII then Consent is not valid.</w:t>
            </w:r>
          </w:p>
        </w:tc>
      </w:tr>
    </w:tbl>
    <w:p w14:paraId="50FBA5EF" w14:textId="77777777" w:rsidR="00544037" w:rsidRDefault="00544037"/>
    <w:p w14:paraId="179D9F9E" w14:textId="1446886C" w:rsidR="00544037" w:rsidRDefault="00544037" w:rsidP="001056EF">
      <w:pPr>
        <w:pStyle w:val="NOTEParagraph"/>
      </w:pPr>
      <w:r>
        <w:t xml:space="preserve">Note: </w:t>
      </w:r>
      <w:r w:rsidR="000B3B3E">
        <w:t>The measurement</w:t>
      </w:r>
      <w:r>
        <w:t xml:space="preserve"> </w:t>
      </w:r>
      <w:r w:rsidR="000B3B3E">
        <w:t>scale, 0</w:t>
      </w:r>
      <w:r>
        <w:t xml:space="preserve"> (low</w:t>
      </w:r>
      <w:r w:rsidR="73E5695C">
        <w:t>-</w:t>
      </w:r>
      <w:r>
        <w:t>risk consent/</w:t>
      </w:r>
      <w:r w:rsidR="000B3B3E">
        <w:t>consensus</w:t>
      </w:r>
      <w:r>
        <w:t xml:space="preserve">) is for </w:t>
      </w:r>
      <w:r w:rsidR="00F91B18">
        <w:t>low-risk</w:t>
      </w:r>
      <w:r>
        <w:t xml:space="preserve"> partial compliance and conforms to a decision by the European Data Protection Board (EPDB) on the</w:t>
      </w:r>
      <w:r w:rsidRPr="0C2E1696">
        <w:rPr>
          <w:highlight w:val="white"/>
        </w:rPr>
        <w:t xml:space="preserve"> 16th of January 2025. Pseudonymous data is a type of personal data according to the EDPB, “if the additional information needed to attribute it to an individual is held by someone else.” As a result, </w:t>
      </w:r>
      <w:r w:rsidR="000B3B3E" w:rsidRPr="0C2E1696">
        <w:rPr>
          <w:highlight w:val="white"/>
        </w:rPr>
        <w:t>pseudonymized</w:t>
      </w:r>
      <w:r w:rsidRPr="0C2E1696">
        <w:rPr>
          <w:highlight w:val="white"/>
        </w:rPr>
        <w:t xml:space="preserve"> identifiers, or credentials, </w:t>
      </w:r>
      <w:r w:rsidR="31F62275" w:rsidRPr="0C2E1696">
        <w:rPr>
          <w:highlight w:val="white"/>
        </w:rPr>
        <w:t>do not</w:t>
      </w:r>
      <w:r w:rsidRPr="0C2E1696">
        <w:rPr>
          <w:highlight w:val="white"/>
        </w:rPr>
        <w:t xml:space="preserve"> automatically become anonymous in the hands of a third party who does not have access to the additional information</w:t>
      </w:r>
      <w:r>
        <w:t>.</w:t>
      </w:r>
    </w:p>
    <w:p w14:paraId="4C75390C" w14:textId="78DBA6A0" w:rsidR="00544037" w:rsidRDefault="00544037">
      <w:r>
        <w:lastRenderedPageBreak/>
        <w:t xml:space="preserve">For valid, and meaningful consent, the individual must be informed of what pseudonymous information was </w:t>
      </w:r>
      <w:r w:rsidR="01E6D1B4">
        <w:t>collected before</w:t>
      </w:r>
      <w:r>
        <w:t xml:space="preserve"> it is processed. </w:t>
      </w:r>
      <w:r w:rsidR="3E143FFD">
        <w:t xml:space="preserve">This is like </w:t>
      </w:r>
      <w:r>
        <w:t>showing live Video Surveillance on a screen at the point of surveillance.</w:t>
      </w:r>
    </w:p>
    <w:p w14:paraId="3CCDC1CD" w14:textId="6CE8B59F" w:rsidR="00544037" w:rsidRPr="00655086" w:rsidRDefault="00544037" w:rsidP="00655086">
      <w:pPr>
        <w:pStyle w:val="Heading3"/>
      </w:pPr>
      <w:r>
        <w:t xml:space="preserve">6.1.2 Legal or Standard Reference for </w:t>
      </w:r>
      <w:r w:rsidR="00A74499">
        <w:t>T</w:t>
      </w:r>
      <w:r>
        <w:t xml:space="preserve">iming of </w:t>
      </w:r>
      <w:r w:rsidR="00A74499">
        <w:t>C</w:t>
      </w:r>
      <w:r>
        <w:t xml:space="preserve">ontroller </w:t>
      </w:r>
      <w:r w:rsidR="00A74499">
        <w:t>I</w:t>
      </w:r>
      <w:r>
        <w:t>dentification</w:t>
      </w:r>
    </w:p>
    <w:p w14:paraId="7341C99B" w14:textId="2A0C44B8" w:rsidR="00142FCB" w:rsidRPr="00142FCB" w:rsidRDefault="00142FCB" w:rsidP="00A74499">
      <w:pPr>
        <w:pStyle w:val="Caption"/>
      </w:pPr>
      <w:bookmarkStart w:id="23" w:name="_Toc193376370"/>
      <w:r w:rsidRPr="00142FCB">
        <w:t xml:space="preserve">Table </w:t>
      </w:r>
      <w:fldSimple w:instr=" SEQ Table \* ARABIC ">
        <w:r>
          <w:rPr>
            <w:noProof/>
          </w:rPr>
          <w:t>3</w:t>
        </w:r>
      </w:fldSimple>
      <w:r w:rsidRPr="00142FCB">
        <w:t>. TPI 1 Legal and Standard References</w:t>
      </w:r>
      <w:bookmarkEnd w:id="23"/>
    </w:p>
    <w:tbl>
      <w:tblPr>
        <w:tblW w:w="9360" w:type="dxa"/>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615"/>
        <w:gridCol w:w="4525"/>
      </w:tblGrid>
      <w:tr w:rsidR="00544037" w14:paraId="05D6DFC5" w14:textId="77777777" w:rsidTr="0092690C">
        <w:tc>
          <w:tcPr>
            <w:tcW w:w="2220" w:type="dxa"/>
            <w:tcBorders>
              <w:top w:val="single" w:sz="8" w:space="0" w:color="000000"/>
              <w:right w:val="nil"/>
            </w:tcBorders>
            <w:shd w:val="clear" w:color="auto" w:fill="auto"/>
            <w:tcMar>
              <w:top w:w="100" w:type="dxa"/>
              <w:left w:w="100" w:type="dxa"/>
              <w:bottom w:w="100" w:type="dxa"/>
              <w:right w:w="100" w:type="dxa"/>
            </w:tcMar>
            <w:vAlign w:val="bottom"/>
          </w:tcPr>
          <w:p w14:paraId="4E66CD10" w14:textId="77777777" w:rsidR="00544037" w:rsidRPr="00655086" w:rsidRDefault="00544037" w:rsidP="0092690C">
            <w:pPr>
              <w:widowControl w:val="0"/>
              <w:pBdr>
                <w:top w:val="nil"/>
                <w:left w:val="nil"/>
                <w:bottom w:val="nil"/>
                <w:right w:val="nil"/>
                <w:between w:val="nil"/>
              </w:pBdr>
              <w:rPr>
                <w:bCs/>
                <w:color w:val="000000" w:themeColor="text1"/>
                <w:sz w:val="20"/>
                <w:szCs w:val="20"/>
              </w:rPr>
            </w:pPr>
            <w:r w:rsidRPr="00655086">
              <w:rPr>
                <w:bCs/>
                <w:color w:val="000000" w:themeColor="text1"/>
                <w:sz w:val="20"/>
                <w:szCs w:val="20"/>
              </w:rPr>
              <w:t>Instrument</w:t>
            </w:r>
          </w:p>
        </w:tc>
        <w:tc>
          <w:tcPr>
            <w:tcW w:w="2615" w:type="dxa"/>
            <w:tcBorders>
              <w:top w:val="single" w:sz="8" w:space="0" w:color="000000"/>
              <w:left w:val="nil"/>
              <w:right w:val="nil"/>
            </w:tcBorders>
            <w:shd w:val="clear" w:color="auto" w:fill="auto"/>
            <w:tcMar>
              <w:top w:w="100" w:type="dxa"/>
              <w:left w:w="100" w:type="dxa"/>
              <w:bottom w:w="100" w:type="dxa"/>
              <w:right w:w="100" w:type="dxa"/>
            </w:tcMar>
            <w:vAlign w:val="bottom"/>
          </w:tcPr>
          <w:p w14:paraId="58D5C1B7" w14:textId="61158BD2" w:rsidR="00544037" w:rsidRPr="00655086" w:rsidRDefault="00544037" w:rsidP="0092690C">
            <w:pPr>
              <w:widowControl w:val="0"/>
              <w:pBdr>
                <w:top w:val="nil"/>
                <w:left w:val="nil"/>
                <w:bottom w:val="nil"/>
                <w:right w:val="nil"/>
                <w:between w:val="nil"/>
              </w:pBdr>
              <w:jc w:val="center"/>
              <w:rPr>
                <w:bCs/>
                <w:color w:val="000000" w:themeColor="text1"/>
                <w:sz w:val="20"/>
                <w:szCs w:val="20"/>
              </w:rPr>
            </w:pPr>
            <w:r w:rsidRPr="00655086">
              <w:rPr>
                <w:bCs/>
                <w:color w:val="000000" w:themeColor="text1"/>
                <w:sz w:val="20"/>
                <w:szCs w:val="20"/>
              </w:rPr>
              <w:t>Reference</w:t>
            </w:r>
          </w:p>
        </w:tc>
        <w:tc>
          <w:tcPr>
            <w:tcW w:w="4525" w:type="dxa"/>
            <w:tcBorders>
              <w:top w:val="single" w:sz="8" w:space="0" w:color="000000"/>
              <w:left w:val="nil"/>
            </w:tcBorders>
            <w:shd w:val="clear" w:color="auto" w:fill="auto"/>
            <w:tcMar>
              <w:top w:w="100" w:type="dxa"/>
              <w:left w:w="100" w:type="dxa"/>
              <w:bottom w:w="100" w:type="dxa"/>
              <w:right w:w="100" w:type="dxa"/>
            </w:tcMar>
            <w:vAlign w:val="bottom"/>
          </w:tcPr>
          <w:p w14:paraId="1B7580B2" w14:textId="77777777" w:rsidR="00544037" w:rsidRPr="00655086" w:rsidRDefault="00544037" w:rsidP="0092690C">
            <w:pPr>
              <w:widowControl w:val="0"/>
              <w:pBdr>
                <w:top w:val="nil"/>
                <w:left w:val="nil"/>
                <w:bottom w:val="nil"/>
                <w:right w:val="nil"/>
                <w:between w:val="nil"/>
              </w:pBdr>
              <w:jc w:val="center"/>
              <w:rPr>
                <w:bCs/>
                <w:color w:val="000000" w:themeColor="text1"/>
                <w:sz w:val="20"/>
                <w:szCs w:val="20"/>
              </w:rPr>
            </w:pPr>
            <w:r w:rsidRPr="00655086">
              <w:rPr>
                <w:bCs/>
                <w:color w:val="000000" w:themeColor="text1"/>
                <w:sz w:val="20"/>
                <w:szCs w:val="20"/>
              </w:rPr>
              <w:t>Text</w:t>
            </w:r>
          </w:p>
        </w:tc>
      </w:tr>
      <w:tr w:rsidR="00544037" w14:paraId="2E4B933F" w14:textId="77777777" w:rsidTr="009D297E">
        <w:trPr>
          <w:trHeight w:val="1624"/>
        </w:trPr>
        <w:tc>
          <w:tcPr>
            <w:tcW w:w="222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1F533766" w14:textId="77777777" w:rsidR="00544037" w:rsidRPr="00655086" w:rsidRDefault="00544037" w:rsidP="00655086">
            <w:pPr>
              <w:widowControl w:val="0"/>
              <w:pBdr>
                <w:top w:val="nil"/>
                <w:left w:val="nil"/>
                <w:bottom w:val="nil"/>
                <w:right w:val="nil"/>
                <w:between w:val="nil"/>
              </w:pBdr>
              <w:rPr>
                <w:bCs/>
                <w:color w:val="000000" w:themeColor="text1"/>
                <w:sz w:val="20"/>
                <w:szCs w:val="20"/>
              </w:rPr>
            </w:pPr>
            <w:r w:rsidRPr="00655086">
              <w:rPr>
                <w:bCs/>
                <w:color w:val="000000" w:themeColor="text1"/>
                <w:sz w:val="20"/>
                <w:szCs w:val="20"/>
              </w:rPr>
              <w:t>Convention 108+</w:t>
            </w:r>
          </w:p>
        </w:tc>
        <w:tc>
          <w:tcPr>
            <w:tcW w:w="261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6810BAF" w14:textId="77777777" w:rsidR="00544037" w:rsidRPr="00655086" w:rsidRDefault="00544037" w:rsidP="00655086">
            <w:pPr>
              <w:widowControl w:val="0"/>
              <w:pBdr>
                <w:top w:val="nil"/>
                <w:left w:val="nil"/>
                <w:bottom w:val="nil"/>
                <w:right w:val="nil"/>
                <w:between w:val="nil"/>
              </w:pBdr>
              <w:rPr>
                <w:bCs/>
                <w:color w:val="000000" w:themeColor="text1"/>
                <w:sz w:val="20"/>
                <w:szCs w:val="20"/>
              </w:rPr>
            </w:pPr>
            <w:r w:rsidRPr="00655086">
              <w:rPr>
                <w:bCs/>
                <w:color w:val="000000" w:themeColor="text1"/>
                <w:sz w:val="20"/>
                <w:szCs w:val="20"/>
              </w:rPr>
              <w:t>Recital 68, p.23</w:t>
            </w:r>
          </w:p>
        </w:tc>
        <w:tc>
          <w:tcPr>
            <w:tcW w:w="4525"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2FAA2B4A" w14:textId="77777777" w:rsidR="00544037" w:rsidRPr="00655086" w:rsidRDefault="00544037" w:rsidP="00655086">
            <w:pPr>
              <w:widowControl w:val="0"/>
              <w:spacing w:line="240" w:lineRule="auto"/>
              <w:rPr>
                <w:bCs/>
                <w:color w:val="000000" w:themeColor="text1"/>
                <w:sz w:val="20"/>
                <w:szCs w:val="20"/>
              </w:rPr>
            </w:pPr>
            <w:r w:rsidRPr="00655086">
              <w:rPr>
                <w:bCs/>
                <w:color w:val="000000" w:themeColor="text1"/>
                <w:sz w:val="20"/>
                <w:szCs w:val="20"/>
              </w:rPr>
              <w:t>68. Certain essential information has to be compulsorily provided in a proactive manner by the controller to the data subjects when directly or indirectly (not through the data subject but through a third-party) collecting their data, subject to the possibility to provide for exceptions.</w:t>
            </w:r>
          </w:p>
        </w:tc>
      </w:tr>
      <w:tr w:rsidR="009D297E" w14:paraId="1A758B42" w14:textId="77777777" w:rsidTr="00655086">
        <w:trPr>
          <w:trHeight w:val="1624"/>
        </w:trPr>
        <w:tc>
          <w:tcPr>
            <w:tcW w:w="2220" w:type="dxa"/>
            <w:tcBorders>
              <w:top w:val="single" w:sz="8" w:space="0" w:color="000000"/>
              <w:right w:val="nil"/>
            </w:tcBorders>
            <w:shd w:val="clear" w:color="auto" w:fill="auto"/>
            <w:tcMar>
              <w:top w:w="100" w:type="dxa"/>
              <w:left w:w="100" w:type="dxa"/>
              <w:bottom w:w="100" w:type="dxa"/>
              <w:right w:w="100" w:type="dxa"/>
            </w:tcMar>
          </w:tcPr>
          <w:p w14:paraId="23CAAF17" w14:textId="7F232C3B" w:rsidR="009D297E" w:rsidRPr="00655086" w:rsidRDefault="009D297E" w:rsidP="00655086">
            <w:pPr>
              <w:widowControl w:val="0"/>
              <w:pBdr>
                <w:top w:val="nil"/>
                <w:left w:val="nil"/>
                <w:bottom w:val="nil"/>
                <w:right w:val="nil"/>
                <w:between w:val="nil"/>
              </w:pBdr>
              <w:rPr>
                <w:bCs/>
                <w:color w:val="000000" w:themeColor="text1"/>
                <w:sz w:val="20"/>
                <w:szCs w:val="20"/>
              </w:rPr>
            </w:pPr>
            <w:r w:rsidRPr="00655086">
              <w:rPr>
                <w:bCs/>
                <w:color w:val="000000" w:themeColor="text1"/>
                <w:sz w:val="20"/>
                <w:szCs w:val="20"/>
              </w:rPr>
              <w:t>GDPR</w:t>
            </w:r>
          </w:p>
        </w:tc>
        <w:tc>
          <w:tcPr>
            <w:tcW w:w="2615" w:type="dxa"/>
            <w:tcBorders>
              <w:top w:val="single" w:sz="8" w:space="0" w:color="000000"/>
              <w:left w:val="nil"/>
              <w:right w:val="nil"/>
            </w:tcBorders>
            <w:shd w:val="clear" w:color="auto" w:fill="auto"/>
            <w:tcMar>
              <w:top w:w="100" w:type="dxa"/>
              <w:left w:w="100" w:type="dxa"/>
              <w:bottom w:w="100" w:type="dxa"/>
              <w:right w:w="100" w:type="dxa"/>
            </w:tcMar>
          </w:tcPr>
          <w:p w14:paraId="31ABDB00" w14:textId="0C3993EA" w:rsidR="009D297E" w:rsidRPr="00655086" w:rsidRDefault="009D297E" w:rsidP="00655086">
            <w:pPr>
              <w:widowControl w:val="0"/>
              <w:pBdr>
                <w:top w:val="nil"/>
                <w:left w:val="nil"/>
                <w:bottom w:val="nil"/>
                <w:right w:val="nil"/>
                <w:between w:val="nil"/>
              </w:pBdr>
              <w:rPr>
                <w:bCs/>
                <w:color w:val="000000" w:themeColor="text1"/>
                <w:sz w:val="20"/>
                <w:szCs w:val="20"/>
              </w:rPr>
            </w:pPr>
            <w:r w:rsidRPr="00655086">
              <w:rPr>
                <w:bCs/>
                <w:color w:val="000000" w:themeColor="text1"/>
                <w:sz w:val="20"/>
                <w:szCs w:val="20"/>
              </w:rPr>
              <w:t>Article 13.1 b), and 141, a) and b)</w:t>
            </w:r>
          </w:p>
        </w:tc>
        <w:tc>
          <w:tcPr>
            <w:tcW w:w="4525" w:type="dxa"/>
            <w:tcBorders>
              <w:top w:val="single" w:sz="8" w:space="0" w:color="000000"/>
              <w:left w:val="nil"/>
            </w:tcBorders>
            <w:shd w:val="clear" w:color="auto" w:fill="auto"/>
            <w:tcMar>
              <w:top w:w="100" w:type="dxa"/>
              <w:left w:w="100" w:type="dxa"/>
              <w:bottom w:w="100" w:type="dxa"/>
              <w:right w:w="100" w:type="dxa"/>
            </w:tcMar>
          </w:tcPr>
          <w:p w14:paraId="2D9C5244" w14:textId="77777777" w:rsidR="009D297E" w:rsidRPr="00655086" w:rsidRDefault="009D297E" w:rsidP="009D297E">
            <w:pPr>
              <w:spacing w:line="240" w:lineRule="auto"/>
              <w:rPr>
                <w:bCs/>
                <w:color w:val="000000" w:themeColor="text1"/>
                <w:sz w:val="20"/>
                <w:szCs w:val="20"/>
              </w:rPr>
            </w:pPr>
            <w:r w:rsidRPr="00655086">
              <w:rPr>
                <w:bCs/>
                <w:color w:val="000000" w:themeColor="text1"/>
                <w:sz w:val="20"/>
                <w:szCs w:val="20"/>
              </w:rPr>
              <w:t>all data is obtained, provide the data subject with all the following information:</w:t>
            </w:r>
          </w:p>
          <w:p w14:paraId="610CB692" w14:textId="77777777" w:rsidR="009D297E" w:rsidRPr="00655086" w:rsidRDefault="009D297E" w:rsidP="009D297E">
            <w:pPr>
              <w:spacing w:line="240" w:lineRule="auto"/>
              <w:ind w:left="450"/>
              <w:rPr>
                <w:bCs/>
                <w:color w:val="000000" w:themeColor="text1"/>
                <w:sz w:val="20"/>
                <w:szCs w:val="20"/>
              </w:rPr>
            </w:pPr>
            <w:r w:rsidRPr="00655086">
              <w:rPr>
                <w:bCs/>
                <w:color w:val="000000" w:themeColor="text1"/>
                <w:sz w:val="20"/>
                <w:szCs w:val="20"/>
              </w:rPr>
              <w:t>(a) the identity and the contact details of the controller;</w:t>
            </w:r>
            <w:r>
              <w:rPr>
                <w:bCs/>
                <w:color w:val="000000" w:themeColor="text1"/>
                <w:sz w:val="20"/>
                <w:szCs w:val="20"/>
              </w:rPr>
              <w:t xml:space="preserve"> </w:t>
            </w:r>
            <w:r w:rsidRPr="00655086">
              <w:rPr>
                <w:bCs/>
                <w:color w:val="000000" w:themeColor="text1"/>
                <w:sz w:val="20"/>
                <w:szCs w:val="20"/>
              </w:rPr>
              <w:t xml:space="preserve">(b) the contact details of the data protection officer. </w:t>
            </w:r>
          </w:p>
          <w:p w14:paraId="28FD5A14" w14:textId="3FC4DDE6" w:rsidR="009D297E" w:rsidRPr="00655086" w:rsidRDefault="009D297E" w:rsidP="009D297E">
            <w:pPr>
              <w:widowControl w:val="0"/>
              <w:spacing w:line="240" w:lineRule="auto"/>
              <w:rPr>
                <w:bCs/>
                <w:color w:val="000000" w:themeColor="text1"/>
                <w:sz w:val="20"/>
                <w:szCs w:val="20"/>
              </w:rPr>
            </w:pPr>
            <w:r w:rsidRPr="00655086">
              <w:rPr>
                <w:bCs/>
                <w:color w:val="000000" w:themeColor="text1"/>
                <w:sz w:val="20"/>
                <w:szCs w:val="20"/>
              </w:rPr>
              <w:t>(Recital 42) Where processing is based on the data subject's consent, the controller should be able to demonstrate that the data subject has given consent to the processing operation. In particular in the context of a written declaration on another matter, safeguards should ensure that the data subject is aware of the fact that and the extent to which consent is given. In accordance with Council Directive 93/13/EEC (1) a declaration of consent pre- formulated by the controller should be provided in an intelligible and easily accessible form, using clear and plain language and it should not contain unfair terms. For consent to be informed, the data subject should be aware at</w:t>
            </w:r>
            <w:r>
              <w:rPr>
                <w:bCs/>
                <w:color w:val="000000" w:themeColor="text1"/>
                <w:sz w:val="20"/>
                <w:szCs w:val="20"/>
              </w:rPr>
              <w:t xml:space="preserve"> </w:t>
            </w:r>
            <w:r w:rsidRPr="00655086">
              <w:rPr>
                <w:bCs/>
                <w:color w:val="000000" w:themeColor="text1"/>
                <w:sz w:val="20"/>
                <w:szCs w:val="20"/>
              </w:rPr>
              <w:t>least of the identity of the controller and the purposes of the processing for which the personal data are intended. Consent should not be regarded as freely given if the data subject has no genuine or free choice or is unable to refuse or withdraw consent without detriment.</w:t>
            </w:r>
          </w:p>
        </w:tc>
      </w:tr>
    </w:tbl>
    <w:p w14:paraId="2D4A0427" w14:textId="2CBAC4A3" w:rsidR="00544037" w:rsidRPr="00A74499" w:rsidRDefault="00A74499">
      <w:pPr>
        <w:rPr>
          <w:i/>
          <w:iCs/>
          <w:sz w:val="18"/>
          <w:szCs w:val="18"/>
        </w:rPr>
      </w:pPr>
      <w:r>
        <w:tab/>
      </w:r>
      <w:r>
        <w:tab/>
      </w:r>
      <w:r>
        <w:tab/>
      </w:r>
      <w:r>
        <w:tab/>
      </w:r>
      <w:r>
        <w:tab/>
      </w:r>
      <w:r>
        <w:tab/>
      </w:r>
      <w:r>
        <w:tab/>
      </w:r>
      <w:r>
        <w:tab/>
      </w:r>
      <w:r>
        <w:tab/>
      </w:r>
      <w:r w:rsidRPr="00A74499">
        <w:rPr>
          <w:i/>
          <w:iCs/>
          <w:sz w:val="18"/>
          <w:szCs w:val="18"/>
        </w:rPr>
        <w:t>(table</w:t>
      </w:r>
      <w:r>
        <w:rPr>
          <w:i/>
          <w:iCs/>
          <w:sz w:val="18"/>
          <w:szCs w:val="18"/>
        </w:rPr>
        <w:t xml:space="preserve"> 3</w:t>
      </w:r>
      <w:r w:rsidRPr="00A74499">
        <w:rPr>
          <w:i/>
          <w:iCs/>
          <w:sz w:val="18"/>
          <w:szCs w:val="18"/>
        </w:rPr>
        <w:t xml:space="preserve"> continued on next page)</w:t>
      </w:r>
    </w:p>
    <w:p w14:paraId="439CB931" w14:textId="77777777" w:rsidR="00A74499" w:rsidRDefault="00A74499"/>
    <w:p w14:paraId="7BEA5576" w14:textId="11AE897B" w:rsidR="00A74499" w:rsidRPr="001F73B5" w:rsidRDefault="005E1FFC" w:rsidP="001F73B5">
      <w:pPr>
        <w:rPr>
          <w:i/>
          <w:iCs/>
          <w:color w:val="2C3E50"/>
          <w:sz w:val="18"/>
          <w:szCs w:val="18"/>
        </w:rPr>
      </w:pPr>
      <w:r>
        <w:rPr>
          <w:i/>
          <w:iCs/>
          <w:color w:val="2C3E50"/>
          <w:sz w:val="18"/>
          <w:szCs w:val="18"/>
        </w:rPr>
        <w:lastRenderedPageBreak/>
        <w:t>Table 3. TPI 1 Legal and Standard References cont.</w:t>
      </w:r>
    </w:p>
    <w:tbl>
      <w:tblPr>
        <w:tblW w:w="9360" w:type="dxa"/>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615"/>
        <w:gridCol w:w="4525"/>
      </w:tblGrid>
      <w:tr w:rsidR="00A74499" w14:paraId="6474D49B" w14:textId="77777777" w:rsidTr="00075967">
        <w:tc>
          <w:tcPr>
            <w:tcW w:w="2220" w:type="dxa"/>
            <w:tcBorders>
              <w:top w:val="single" w:sz="8" w:space="0" w:color="000000"/>
              <w:right w:val="nil"/>
            </w:tcBorders>
            <w:shd w:val="clear" w:color="auto" w:fill="auto"/>
            <w:tcMar>
              <w:top w:w="100" w:type="dxa"/>
              <w:left w:w="100" w:type="dxa"/>
              <w:bottom w:w="100" w:type="dxa"/>
              <w:right w:w="100" w:type="dxa"/>
            </w:tcMar>
            <w:vAlign w:val="bottom"/>
          </w:tcPr>
          <w:p w14:paraId="4FEB2F7C" w14:textId="77777777" w:rsidR="00A74499" w:rsidRPr="00655086" w:rsidRDefault="00A74499" w:rsidP="00075967">
            <w:pPr>
              <w:widowControl w:val="0"/>
              <w:pBdr>
                <w:top w:val="nil"/>
                <w:left w:val="nil"/>
                <w:bottom w:val="nil"/>
                <w:right w:val="nil"/>
                <w:between w:val="nil"/>
              </w:pBdr>
              <w:rPr>
                <w:bCs/>
                <w:color w:val="000000" w:themeColor="text1"/>
                <w:sz w:val="20"/>
                <w:szCs w:val="20"/>
              </w:rPr>
            </w:pPr>
            <w:r w:rsidRPr="00655086">
              <w:rPr>
                <w:bCs/>
                <w:color w:val="000000" w:themeColor="text1"/>
                <w:sz w:val="20"/>
                <w:szCs w:val="20"/>
              </w:rPr>
              <w:t>Instrument</w:t>
            </w:r>
          </w:p>
        </w:tc>
        <w:tc>
          <w:tcPr>
            <w:tcW w:w="2615" w:type="dxa"/>
            <w:tcBorders>
              <w:top w:val="single" w:sz="8" w:space="0" w:color="000000"/>
              <w:left w:val="nil"/>
              <w:right w:val="nil"/>
            </w:tcBorders>
            <w:shd w:val="clear" w:color="auto" w:fill="auto"/>
            <w:tcMar>
              <w:top w:w="100" w:type="dxa"/>
              <w:left w:w="100" w:type="dxa"/>
              <w:bottom w:w="100" w:type="dxa"/>
              <w:right w:w="100" w:type="dxa"/>
            </w:tcMar>
            <w:vAlign w:val="bottom"/>
          </w:tcPr>
          <w:p w14:paraId="0C898915" w14:textId="77777777" w:rsidR="00A74499" w:rsidRPr="00655086" w:rsidRDefault="00A74499" w:rsidP="00075967">
            <w:pPr>
              <w:widowControl w:val="0"/>
              <w:pBdr>
                <w:top w:val="nil"/>
                <w:left w:val="nil"/>
                <w:bottom w:val="nil"/>
                <w:right w:val="nil"/>
                <w:between w:val="nil"/>
              </w:pBdr>
              <w:jc w:val="center"/>
              <w:rPr>
                <w:bCs/>
                <w:color w:val="000000" w:themeColor="text1"/>
                <w:sz w:val="20"/>
                <w:szCs w:val="20"/>
              </w:rPr>
            </w:pPr>
            <w:r w:rsidRPr="00655086">
              <w:rPr>
                <w:bCs/>
                <w:color w:val="000000" w:themeColor="text1"/>
                <w:sz w:val="20"/>
                <w:szCs w:val="20"/>
              </w:rPr>
              <w:t>Reference</w:t>
            </w:r>
          </w:p>
        </w:tc>
        <w:tc>
          <w:tcPr>
            <w:tcW w:w="4525" w:type="dxa"/>
            <w:tcBorders>
              <w:top w:val="single" w:sz="8" w:space="0" w:color="000000"/>
              <w:left w:val="nil"/>
            </w:tcBorders>
            <w:shd w:val="clear" w:color="auto" w:fill="auto"/>
            <w:tcMar>
              <w:top w:w="100" w:type="dxa"/>
              <w:left w:w="100" w:type="dxa"/>
              <w:bottom w:w="100" w:type="dxa"/>
              <w:right w:w="100" w:type="dxa"/>
            </w:tcMar>
            <w:vAlign w:val="bottom"/>
          </w:tcPr>
          <w:p w14:paraId="135CA6B9" w14:textId="77777777" w:rsidR="00A74499" w:rsidRPr="00655086" w:rsidRDefault="00A74499" w:rsidP="00075967">
            <w:pPr>
              <w:widowControl w:val="0"/>
              <w:pBdr>
                <w:top w:val="nil"/>
                <w:left w:val="nil"/>
                <w:bottom w:val="nil"/>
                <w:right w:val="nil"/>
                <w:between w:val="nil"/>
              </w:pBdr>
              <w:jc w:val="center"/>
              <w:rPr>
                <w:bCs/>
                <w:color w:val="000000" w:themeColor="text1"/>
                <w:sz w:val="20"/>
                <w:szCs w:val="20"/>
              </w:rPr>
            </w:pPr>
            <w:r w:rsidRPr="00655086">
              <w:rPr>
                <w:bCs/>
                <w:color w:val="000000" w:themeColor="text1"/>
                <w:sz w:val="20"/>
                <w:szCs w:val="20"/>
              </w:rPr>
              <w:t>Text</w:t>
            </w:r>
          </w:p>
        </w:tc>
      </w:tr>
      <w:tr w:rsidR="00A74499" w14:paraId="6208331C" w14:textId="77777777" w:rsidTr="00075967">
        <w:trPr>
          <w:trHeight w:val="456"/>
        </w:trPr>
        <w:tc>
          <w:tcPr>
            <w:tcW w:w="2220" w:type="dxa"/>
            <w:tcBorders>
              <w:top w:val="single" w:sz="8" w:space="0" w:color="000000"/>
              <w:right w:val="nil"/>
            </w:tcBorders>
            <w:shd w:val="clear" w:color="auto" w:fill="auto"/>
            <w:tcMar>
              <w:top w:w="100" w:type="dxa"/>
              <w:left w:w="100" w:type="dxa"/>
              <w:bottom w:w="100" w:type="dxa"/>
              <w:right w:w="100" w:type="dxa"/>
            </w:tcMar>
          </w:tcPr>
          <w:p w14:paraId="060B2938" w14:textId="77777777" w:rsidR="00A74499" w:rsidRPr="00655086" w:rsidRDefault="00A74499" w:rsidP="00075967">
            <w:pPr>
              <w:widowControl w:val="0"/>
              <w:pBdr>
                <w:top w:val="nil"/>
                <w:left w:val="nil"/>
                <w:bottom w:val="nil"/>
                <w:right w:val="nil"/>
                <w:between w:val="nil"/>
              </w:pBdr>
              <w:rPr>
                <w:bCs/>
                <w:sz w:val="20"/>
                <w:szCs w:val="20"/>
              </w:rPr>
            </w:pPr>
            <w:r w:rsidRPr="00655086">
              <w:rPr>
                <w:bCs/>
                <w:sz w:val="20"/>
                <w:szCs w:val="20"/>
              </w:rPr>
              <w:t xml:space="preserve">Q-Law 25, CAI Guidance </w:t>
            </w:r>
          </w:p>
        </w:tc>
        <w:tc>
          <w:tcPr>
            <w:tcW w:w="2615" w:type="dxa"/>
            <w:tcBorders>
              <w:top w:val="single" w:sz="8" w:space="0" w:color="000000"/>
              <w:left w:val="nil"/>
              <w:right w:val="nil"/>
            </w:tcBorders>
            <w:shd w:val="clear" w:color="auto" w:fill="auto"/>
            <w:tcMar>
              <w:top w:w="100" w:type="dxa"/>
              <w:left w:w="100" w:type="dxa"/>
              <w:bottom w:w="100" w:type="dxa"/>
              <w:right w:w="100" w:type="dxa"/>
            </w:tcMar>
          </w:tcPr>
          <w:p w14:paraId="75390B6D" w14:textId="77777777" w:rsidR="00A74499" w:rsidRPr="00655086" w:rsidRDefault="00A74499" w:rsidP="00075967">
            <w:pPr>
              <w:spacing w:line="276" w:lineRule="auto"/>
              <w:rPr>
                <w:bCs/>
                <w:color w:val="000000" w:themeColor="text1"/>
                <w:sz w:val="20"/>
                <w:szCs w:val="20"/>
              </w:rPr>
            </w:pPr>
            <w:r w:rsidRPr="00655086">
              <w:rPr>
                <w:bCs/>
                <w:color w:val="000000" w:themeColor="text1"/>
                <w:sz w:val="20"/>
                <w:szCs w:val="20"/>
              </w:rPr>
              <w:t>CAI (pg6) B.9. Timing of Consent</w:t>
            </w:r>
          </w:p>
        </w:tc>
        <w:tc>
          <w:tcPr>
            <w:tcW w:w="4525" w:type="dxa"/>
            <w:tcBorders>
              <w:top w:val="single" w:sz="8" w:space="0" w:color="000000"/>
              <w:left w:val="nil"/>
            </w:tcBorders>
            <w:shd w:val="clear" w:color="auto" w:fill="auto"/>
            <w:tcMar>
              <w:top w:w="100" w:type="dxa"/>
              <w:left w:w="100" w:type="dxa"/>
              <w:bottom w:w="100" w:type="dxa"/>
              <w:right w:w="100" w:type="dxa"/>
            </w:tcMar>
          </w:tcPr>
          <w:p w14:paraId="28785CBE" w14:textId="77777777" w:rsidR="00A74499" w:rsidRPr="00655086" w:rsidRDefault="00A74499" w:rsidP="00075967">
            <w:pPr>
              <w:spacing w:line="240" w:lineRule="auto"/>
              <w:rPr>
                <w:bCs/>
                <w:color w:val="000000" w:themeColor="text1"/>
                <w:sz w:val="20"/>
                <w:szCs w:val="20"/>
              </w:rPr>
            </w:pPr>
            <w:r w:rsidRPr="00655086">
              <w:rPr>
                <w:bCs/>
                <w:color w:val="000000" w:themeColor="text1"/>
                <w:sz w:val="20"/>
                <w:szCs w:val="20"/>
              </w:rPr>
              <w:t>An organization must obtain consent before performing the actions to which it relates.</w:t>
            </w:r>
          </w:p>
          <w:p w14:paraId="2C8AC083" w14:textId="77777777" w:rsidR="00A74499" w:rsidRPr="00655086" w:rsidRDefault="00A74499" w:rsidP="00075967">
            <w:pPr>
              <w:widowControl w:val="0"/>
              <w:pBdr>
                <w:top w:val="nil"/>
                <w:left w:val="nil"/>
                <w:bottom w:val="nil"/>
                <w:right w:val="nil"/>
                <w:between w:val="nil"/>
              </w:pBdr>
              <w:spacing w:line="240" w:lineRule="auto"/>
              <w:rPr>
                <w:bCs/>
                <w:color w:val="000000" w:themeColor="text1"/>
                <w:sz w:val="20"/>
                <w:szCs w:val="20"/>
              </w:rPr>
            </w:pPr>
          </w:p>
        </w:tc>
      </w:tr>
      <w:tr w:rsidR="00A74499" w14:paraId="0DF8B38C" w14:textId="77777777" w:rsidTr="00075967">
        <w:tc>
          <w:tcPr>
            <w:tcW w:w="2220" w:type="dxa"/>
            <w:tcBorders>
              <w:top w:val="single" w:sz="8" w:space="0" w:color="000000"/>
              <w:right w:val="nil"/>
            </w:tcBorders>
            <w:shd w:val="clear" w:color="auto" w:fill="auto"/>
            <w:tcMar>
              <w:top w:w="100" w:type="dxa"/>
              <w:left w:w="100" w:type="dxa"/>
              <w:bottom w:w="100" w:type="dxa"/>
              <w:right w:w="100" w:type="dxa"/>
            </w:tcMar>
          </w:tcPr>
          <w:p w14:paraId="6F9DAAFC" w14:textId="77777777" w:rsidR="00A74499" w:rsidRPr="00655086" w:rsidRDefault="00A74499" w:rsidP="00075967">
            <w:pPr>
              <w:rPr>
                <w:bCs/>
                <w:sz w:val="20"/>
                <w:szCs w:val="20"/>
              </w:rPr>
            </w:pPr>
            <w:r w:rsidRPr="00655086">
              <w:rPr>
                <w:bCs/>
                <w:sz w:val="20"/>
                <w:szCs w:val="20"/>
              </w:rPr>
              <w:t xml:space="preserve">ISO/IEC 29100 Reference </w:t>
            </w:r>
          </w:p>
        </w:tc>
        <w:tc>
          <w:tcPr>
            <w:tcW w:w="2615" w:type="dxa"/>
            <w:tcBorders>
              <w:top w:val="single" w:sz="8" w:space="0" w:color="000000"/>
              <w:left w:val="nil"/>
              <w:right w:val="nil"/>
            </w:tcBorders>
            <w:shd w:val="clear" w:color="auto" w:fill="auto"/>
            <w:tcMar>
              <w:top w:w="100" w:type="dxa"/>
              <w:left w:w="100" w:type="dxa"/>
              <w:bottom w:w="100" w:type="dxa"/>
              <w:right w:w="100" w:type="dxa"/>
            </w:tcMar>
          </w:tcPr>
          <w:p w14:paraId="0EB58261" w14:textId="77777777" w:rsidR="00A74499" w:rsidRPr="00655086" w:rsidRDefault="00A74499" w:rsidP="00075967">
            <w:pPr>
              <w:spacing w:line="276" w:lineRule="auto"/>
              <w:rPr>
                <w:bCs/>
                <w:color w:val="000000" w:themeColor="text1"/>
                <w:sz w:val="20"/>
                <w:szCs w:val="20"/>
              </w:rPr>
            </w:pPr>
            <w:r w:rsidRPr="00655086">
              <w:rPr>
                <w:bCs/>
                <w:color w:val="000000" w:themeColor="text1"/>
                <w:sz w:val="20"/>
                <w:szCs w:val="20"/>
              </w:rPr>
              <w:t>6.2 Consent &amp; Choice</w:t>
            </w:r>
          </w:p>
        </w:tc>
        <w:tc>
          <w:tcPr>
            <w:tcW w:w="4525" w:type="dxa"/>
            <w:tcBorders>
              <w:top w:val="single" w:sz="8" w:space="0" w:color="000000"/>
              <w:left w:val="nil"/>
            </w:tcBorders>
            <w:shd w:val="clear" w:color="auto" w:fill="auto"/>
            <w:tcMar>
              <w:top w:w="100" w:type="dxa"/>
              <w:left w:w="100" w:type="dxa"/>
              <w:bottom w:w="100" w:type="dxa"/>
              <w:right w:w="100" w:type="dxa"/>
            </w:tcMar>
          </w:tcPr>
          <w:p w14:paraId="64578E3D" w14:textId="77777777" w:rsidR="00A74499" w:rsidRPr="00655086" w:rsidRDefault="00A74499" w:rsidP="00075967">
            <w:pPr>
              <w:spacing w:line="240" w:lineRule="auto"/>
              <w:rPr>
                <w:bCs/>
                <w:color w:val="141413"/>
                <w:sz w:val="20"/>
                <w:szCs w:val="20"/>
              </w:rPr>
            </w:pPr>
            <w:r>
              <w:rPr>
                <w:bCs/>
                <w:color w:val="141413"/>
                <w:sz w:val="20"/>
                <w:szCs w:val="20"/>
              </w:rPr>
              <w:t>P</w:t>
            </w:r>
            <w:r w:rsidRPr="00655086">
              <w:rPr>
                <w:bCs/>
                <w:color w:val="141413"/>
                <w:sz w:val="20"/>
                <w:szCs w:val="20"/>
              </w:rPr>
              <w:t>roviding PII principals, before obtaining consent, with the information indicated by the openness, notice</w:t>
            </w:r>
            <w:r>
              <w:rPr>
                <w:bCs/>
                <w:color w:val="141413"/>
                <w:sz w:val="20"/>
                <w:szCs w:val="20"/>
              </w:rPr>
              <w:t>,</w:t>
            </w:r>
            <w:r w:rsidRPr="00655086">
              <w:rPr>
                <w:bCs/>
                <w:color w:val="141413"/>
                <w:sz w:val="20"/>
                <w:szCs w:val="20"/>
              </w:rPr>
              <w:t xml:space="preserve"> and choice principle</w:t>
            </w:r>
            <w:r>
              <w:rPr>
                <w:bCs/>
                <w:color w:val="141413"/>
                <w:sz w:val="20"/>
                <w:szCs w:val="20"/>
              </w:rPr>
              <w:t>.</w:t>
            </w:r>
          </w:p>
        </w:tc>
      </w:tr>
    </w:tbl>
    <w:p w14:paraId="0CAA246D" w14:textId="77777777" w:rsidR="00A74499" w:rsidRDefault="00A74499"/>
    <w:p w14:paraId="16F52325" w14:textId="22CEADAA" w:rsidR="00544037" w:rsidRDefault="00544037" w:rsidP="00544037">
      <w:pPr>
        <w:pStyle w:val="Heading2"/>
      </w:pPr>
      <w:bookmarkStart w:id="24" w:name="_Toc193376360"/>
      <w:r>
        <w:t xml:space="preserve">6.2 TPI 2 </w:t>
      </w:r>
      <w:r w:rsidR="00192B7B">
        <w:t xml:space="preserve">– </w:t>
      </w:r>
      <w:r>
        <w:t>Controller Identification Record Elements</w:t>
      </w:r>
      <w:bookmarkEnd w:id="24"/>
    </w:p>
    <w:p w14:paraId="7A37177B" w14:textId="586F4FB1" w:rsidR="00A74499" w:rsidRPr="00A74499" w:rsidRDefault="00544037" w:rsidP="00BC1B3F">
      <w:pPr>
        <w:pBdr>
          <w:top w:val="nil"/>
          <w:left w:val="nil"/>
          <w:bottom w:val="nil"/>
          <w:right w:val="nil"/>
          <w:between w:val="nil"/>
        </w:pBdr>
        <w:rPr>
          <w:rFonts w:eastAsia="Times New Roman" w:cs="Arial"/>
          <w:color w:val="000000" w:themeColor="text1"/>
        </w:rPr>
      </w:pPr>
      <w:r w:rsidRPr="0C2E1696">
        <w:rPr>
          <w:rFonts w:eastAsia="Times New Roman" w:cs="Arial"/>
          <w:color w:val="000000" w:themeColor="text1"/>
        </w:rPr>
        <w:t xml:space="preserve">This TPI captures the </w:t>
      </w:r>
      <w:r w:rsidRPr="0C2E1696">
        <w:rPr>
          <w:rFonts w:cs="Arial"/>
        </w:rPr>
        <w:t>‘compulsory controlled identification and access attributes into a PII Controller identification record (Appendix A)</w:t>
      </w:r>
      <w:r w:rsidR="000B3B3E" w:rsidRPr="0C2E1696">
        <w:rPr>
          <w:rFonts w:cs="Arial"/>
        </w:rPr>
        <w:t xml:space="preserve">. </w:t>
      </w:r>
      <w:r w:rsidR="1A473FC4" w:rsidRPr="0C2E1696">
        <w:rPr>
          <w:rFonts w:cs="Arial"/>
        </w:rPr>
        <w:t>The following tables 4, 5, and 6 provide details on the information captured</w:t>
      </w:r>
      <w:r w:rsidR="002F6068">
        <w:rPr>
          <w:rFonts w:cs="Arial"/>
        </w:rPr>
        <w:t xml:space="preserve">, </w:t>
      </w:r>
      <w:r w:rsidR="1A473FC4" w:rsidRPr="0C2E1696">
        <w:rPr>
          <w:rFonts w:cs="Arial"/>
        </w:rPr>
        <w:t>how it is measured</w:t>
      </w:r>
      <w:r w:rsidR="002F6068">
        <w:rPr>
          <w:rFonts w:cs="Arial"/>
        </w:rPr>
        <w:t>,</w:t>
      </w:r>
      <w:r w:rsidR="1A473FC4" w:rsidRPr="0C2E1696">
        <w:rPr>
          <w:rFonts w:cs="Arial"/>
        </w:rPr>
        <w:t xml:space="preserve"> and the legal requirements and standards where this TPI shows compliance and adequacy.</w:t>
      </w:r>
    </w:p>
    <w:p w14:paraId="1900BD53" w14:textId="2CD43286" w:rsidR="00142FCB" w:rsidRPr="00142FCB" w:rsidRDefault="00142FCB" w:rsidP="00A74499">
      <w:pPr>
        <w:pStyle w:val="Caption"/>
      </w:pPr>
      <w:bookmarkStart w:id="25" w:name="_Toc193376371"/>
      <w:r w:rsidRPr="00142FCB">
        <w:t xml:space="preserve">Table </w:t>
      </w:r>
      <w:fldSimple w:instr=" SEQ Table \* ARABIC ">
        <w:r>
          <w:rPr>
            <w:noProof/>
          </w:rPr>
          <w:t>4</w:t>
        </w:r>
      </w:fldSimple>
      <w:r w:rsidRPr="00142FCB">
        <w:t xml:space="preserve">. TPI 2 Measurement and </w:t>
      </w:r>
      <w:r w:rsidRPr="00A74499">
        <w:t>Description</w:t>
      </w:r>
      <w:bookmarkEnd w:id="25"/>
    </w:p>
    <w:tbl>
      <w:tblPr>
        <w:tblW w:w="9360" w:type="dxa"/>
        <w:jc w:val="center"/>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0"/>
        <w:gridCol w:w="3780"/>
        <w:gridCol w:w="1720"/>
      </w:tblGrid>
      <w:tr w:rsidR="000E0465" w14:paraId="66AF4E0F" w14:textId="77777777" w:rsidTr="00BC1B3F">
        <w:trPr>
          <w:jc w:val="center"/>
        </w:trPr>
        <w:tc>
          <w:tcPr>
            <w:tcW w:w="3860" w:type="dxa"/>
            <w:tcBorders>
              <w:top w:val="single" w:sz="8" w:space="0" w:color="000000"/>
              <w:right w:val="nil"/>
            </w:tcBorders>
            <w:shd w:val="clear" w:color="auto" w:fill="auto"/>
            <w:tcMar>
              <w:top w:w="100" w:type="dxa"/>
              <w:left w:w="100" w:type="dxa"/>
              <w:bottom w:w="100" w:type="dxa"/>
              <w:right w:w="100" w:type="dxa"/>
            </w:tcMar>
          </w:tcPr>
          <w:p w14:paraId="069D57E7" w14:textId="77777777" w:rsidR="000E0465" w:rsidRPr="00BC1B3F" w:rsidRDefault="000E0465" w:rsidP="00BC1B3F">
            <w:pPr>
              <w:widowControl w:val="0"/>
              <w:rPr>
                <w:bCs/>
                <w:sz w:val="20"/>
                <w:szCs w:val="20"/>
              </w:rPr>
            </w:pPr>
            <w:r w:rsidRPr="00BC1B3F">
              <w:rPr>
                <w:bCs/>
                <w:sz w:val="20"/>
                <w:szCs w:val="20"/>
              </w:rPr>
              <w:t>TPI 2 - Compulsory Information Measure</w:t>
            </w:r>
          </w:p>
        </w:tc>
        <w:tc>
          <w:tcPr>
            <w:tcW w:w="3780" w:type="dxa"/>
            <w:tcBorders>
              <w:top w:val="single" w:sz="8" w:space="0" w:color="000000"/>
              <w:left w:val="nil"/>
              <w:right w:val="nil"/>
            </w:tcBorders>
            <w:shd w:val="clear" w:color="auto" w:fill="auto"/>
            <w:tcMar>
              <w:top w:w="100" w:type="dxa"/>
              <w:left w:w="100" w:type="dxa"/>
              <w:bottom w:w="100" w:type="dxa"/>
              <w:right w:w="100" w:type="dxa"/>
            </w:tcMar>
          </w:tcPr>
          <w:p w14:paraId="5D41FEF9" w14:textId="77777777" w:rsidR="000E0465" w:rsidRPr="00BC1B3F" w:rsidRDefault="000E0465" w:rsidP="00BC1B3F">
            <w:pPr>
              <w:widowControl w:val="0"/>
              <w:rPr>
                <w:bCs/>
                <w:sz w:val="20"/>
                <w:szCs w:val="20"/>
              </w:rPr>
            </w:pPr>
            <w:r w:rsidRPr="00BC1B3F">
              <w:rPr>
                <w:bCs/>
                <w:sz w:val="20"/>
                <w:szCs w:val="20"/>
              </w:rPr>
              <w:t>Description</w:t>
            </w:r>
          </w:p>
        </w:tc>
        <w:tc>
          <w:tcPr>
            <w:tcW w:w="1720" w:type="dxa"/>
            <w:tcBorders>
              <w:top w:val="single" w:sz="8" w:space="0" w:color="000000"/>
              <w:left w:val="nil"/>
            </w:tcBorders>
            <w:shd w:val="clear" w:color="auto" w:fill="auto"/>
            <w:tcMar>
              <w:top w:w="100" w:type="dxa"/>
              <w:left w:w="100" w:type="dxa"/>
              <w:bottom w:w="100" w:type="dxa"/>
              <w:right w:w="100" w:type="dxa"/>
            </w:tcMar>
          </w:tcPr>
          <w:p w14:paraId="47DF904A" w14:textId="77777777" w:rsidR="000E0465" w:rsidRPr="00BC1B3F" w:rsidRDefault="000E0465" w:rsidP="002C1A98">
            <w:pPr>
              <w:widowControl w:val="0"/>
              <w:jc w:val="center"/>
              <w:rPr>
                <w:bCs/>
                <w:sz w:val="20"/>
                <w:szCs w:val="20"/>
              </w:rPr>
            </w:pPr>
            <w:r w:rsidRPr="00BC1B3F">
              <w:rPr>
                <w:bCs/>
                <w:sz w:val="20"/>
                <w:szCs w:val="20"/>
              </w:rPr>
              <w:t>Measure</w:t>
            </w:r>
          </w:p>
        </w:tc>
      </w:tr>
      <w:tr w:rsidR="000E0465" w14:paraId="5FEB345C" w14:textId="77777777" w:rsidTr="00BC1B3F">
        <w:trPr>
          <w:jc w:val="center"/>
        </w:trPr>
        <w:tc>
          <w:tcPr>
            <w:tcW w:w="3860" w:type="dxa"/>
            <w:tcBorders>
              <w:top w:val="single" w:sz="8" w:space="0" w:color="000000"/>
              <w:right w:val="nil"/>
            </w:tcBorders>
            <w:shd w:val="clear" w:color="auto" w:fill="auto"/>
            <w:tcMar>
              <w:top w:w="100" w:type="dxa"/>
              <w:left w:w="100" w:type="dxa"/>
              <w:bottom w:w="100" w:type="dxa"/>
              <w:right w:w="100" w:type="dxa"/>
            </w:tcMar>
          </w:tcPr>
          <w:p w14:paraId="6E5273DB" w14:textId="0088E881" w:rsidR="000E0465" w:rsidRPr="00BC1B3F" w:rsidRDefault="000E0465" w:rsidP="00BC1B3F">
            <w:pPr>
              <w:rPr>
                <w:sz w:val="20"/>
                <w:szCs w:val="20"/>
              </w:rPr>
            </w:pPr>
            <w:r w:rsidRPr="00BC1B3F">
              <w:rPr>
                <w:sz w:val="20"/>
                <w:szCs w:val="20"/>
              </w:rPr>
              <w:t>All PII CI Requirements</w:t>
            </w:r>
          </w:p>
        </w:tc>
        <w:tc>
          <w:tcPr>
            <w:tcW w:w="3780" w:type="dxa"/>
            <w:tcBorders>
              <w:top w:val="single" w:sz="8" w:space="0" w:color="000000"/>
              <w:left w:val="nil"/>
              <w:right w:val="nil"/>
            </w:tcBorders>
            <w:shd w:val="clear" w:color="auto" w:fill="auto"/>
            <w:tcMar>
              <w:top w:w="100" w:type="dxa"/>
              <w:left w:w="100" w:type="dxa"/>
              <w:bottom w:w="100" w:type="dxa"/>
              <w:right w:w="100" w:type="dxa"/>
            </w:tcMar>
          </w:tcPr>
          <w:p w14:paraId="6C3393AA" w14:textId="77777777" w:rsidR="000E0465" w:rsidRPr="00BC1B3F" w:rsidRDefault="000E0465" w:rsidP="00BC1B3F">
            <w:pPr>
              <w:widowControl w:val="0"/>
              <w:rPr>
                <w:sz w:val="20"/>
                <w:szCs w:val="20"/>
              </w:rPr>
            </w:pPr>
            <w:r w:rsidRPr="00BC1B3F">
              <w:rPr>
                <w:sz w:val="20"/>
                <w:szCs w:val="20"/>
              </w:rPr>
              <w:t>Is the compulsory identification information and access point information provided?</w:t>
            </w:r>
          </w:p>
        </w:tc>
        <w:tc>
          <w:tcPr>
            <w:tcW w:w="1720" w:type="dxa"/>
            <w:tcBorders>
              <w:top w:val="single" w:sz="8" w:space="0" w:color="000000"/>
              <w:left w:val="nil"/>
            </w:tcBorders>
            <w:shd w:val="clear" w:color="auto" w:fill="auto"/>
            <w:tcMar>
              <w:top w:w="100" w:type="dxa"/>
              <w:left w:w="100" w:type="dxa"/>
              <w:bottom w:w="100" w:type="dxa"/>
              <w:right w:w="100" w:type="dxa"/>
            </w:tcMar>
          </w:tcPr>
          <w:p w14:paraId="11B4CB62" w14:textId="77777777" w:rsidR="000E0465" w:rsidRPr="00BC1B3F" w:rsidRDefault="000E0465" w:rsidP="002C1A98">
            <w:pPr>
              <w:widowControl w:val="0"/>
              <w:jc w:val="center"/>
              <w:rPr>
                <w:sz w:val="20"/>
                <w:szCs w:val="20"/>
              </w:rPr>
            </w:pPr>
            <w:r w:rsidRPr="00BC1B3F">
              <w:rPr>
                <w:sz w:val="20"/>
                <w:szCs w:val="20"/>
              </w:rPr>
              <w:t>+1</w:t>
            </w:r>
          </w:p>
        </w:tc>
      </w:tr>
      <w:tr w:rsidR="000E0465" w14:paraId="07CE7311" w14:textId="77777777" w:rsidTr="00BC1B3F">
        <w:trPr>
          <w:jc w:val="center"/>
        </w:trPr>
        <w:tc>
          <w:tcPr>
            <w:tcW w:w="3860" w:type="dxa"/>
            <w:tcBorders>
              <w:top w:val="single" w:sz="8" w:space="0" w:color="000000"/>
              <w:right w:val="nil"/>
            </w:tcBorders>
            <w:shd w:val="clear" w:color="auto" w:fill="auto"/>
            <w:tcMar>
              <w:top w:w="100" w:type="dxa"/>
              <w:left w:w="100" w:type="dxa"/>
              <w:bottom w:w="100" w:type="dxa"/>
              <w:right w:w="100" w:type="dxa"/>
            </w:tcMar>
          </w:tcPr>
          <w:p w14:paraId="5D448B61" w14:textId="1F4C5104" w:rsidR="000E0465" w:rsidRPr="00BC1B3F" w:rsidRDefault="000E0465" w:rsidP="00BC1B3F">
            <w:pPr>
              <w:rPr>
                <w:sz w:val="20"/>
                <w:szCs w:val="20"/>
              </w:rPr>
            </w:pPr>
            <w:r w:rsidRPr="00BC1B3F">
              <w:rPr>
                <w:sz w:val="20"/>
                <w:szCs w:val="20"/>
              </w:rPr>
              <w:t>Partial PII CI Requirements</w:t>
            </w:r>
          </w:p>
        </w:tc>
        <w:tc>
          <w:tcPr>
            <w:tcW w:w="3780" w:type="dxa"/>
            <w:tcBorders>
              <w:top w:val="single" w:sz="8" w:space="0" w:color="000000"/>
              <w:left w:val="nil"/>
              <w:right w:val="nil"/>
            </w:tcBorders>
            <w:shd w:val="clear" w:color="auto" w:fill="auto"/>
            <w:tcMar>
              <w:top w:w="100" w:type="dxa"/>
              <w:left w:w="100" w:type="dxa"/>
              <w:bottom w:w="100" w:type="dxa"/>
              <w:right w:w="100" w:type="dxa"/>
            </w:tcMar>
          </w:tcPr>
          <w:p w14:paraId="29A3FFE7" w14:textId="77CF0570" w:rsidR="000E0465" w:rsidRPr="00BC1B3F" w:rsidRDefault="000E0465" w:rsidP="00BC1B3F">
            <w:pPr>
              <w:widowControl w:val="0"/>
              <w:rPr>
                <w:sz w:val="20"/>
                <w:szCs w:val="20"/>
              </w:rPr>
            </w:pPr>
            <w:r w:rsidRPr="00BC1B3F">
              <w:rPr>
                <w:sz w:val="20"/>
                <w:szCs w:val="20"/>
              </w:rPr>
              <w:t>If the compulsory information is provided but the</w:t>
            </w:r>
            <w:r w:rsidR="00BC1B3F" w:rsidRPr="00BC1B3F">
              <w:rPr>
                <w:sz w:val="20"/>
                <w:szCs w:val="20"/>
              </w:rPr>
              <w:t xml:space="preserve"> </w:t>
            </w:r>
            <w:r w:rsidRPr="00BC1B3F">
              <w:rPr>
                <w:sz w:val="20"/>
                <w:szCs w:val="20"/>
              </w:rPr>
              <w:t>information to access it is not</w:t>
            </w:r>
            <w:r w:rsidR="00BC1B3F" w:rsidRPr="00BC1B3F">
              <w:rPr>
                <w:sz w:val="20"/>
                <w:szCs w:val="20"/>
              </w:rPr>
              <w:t xml:space="preserve"> </w:t>
            </w:r>
            <w:r w:rsidRPr="00BC1B3F">
              <w:rPr>
                <w:sz w:val="20"/>
                <w:szCs w:val="20"/>
              </w:rPr>
              <w:t xml:space="preserve">provided? </w:t>
            </w:r>
          </w:p>
        </w:tc>
        <w:tc>
          <w:tcPr>
            <w:tcW w:w="1720" w:type="dxa"/>
            <w:tcBorders>
              <w:top w:val="single" w:sz="8" w:space="0" w:color="000000"/>
              <w:left w:val="nil"/>
            </w:tcBorders>
            <w:shd w:val="clear" w:color="auto" w:fill="auto"/>
            <w:tcMar>
              <w:top w:w="100" w:type="dxa"/>
              <w:left w:w="100" w:type="dxa"/>
              <w:bottom w:w="100" w:type="dxa"/>
              <w:right w:w="100" w:type="dxa"/>
            </w:tcMar>
          </w:tcPr>
          <w:p w14:paraId="139CF778" w14:textId="77777777" w:rsidR="000E0465" w:rsidRPr="00BC1B3F" w:rsidRDefault="000E0465" w:rsidP="002C1A98">
            <w:pPr>
              <w:widowControl w:val="0"/>
              <w:jc w:val="center"/>
              <w:rPr>
                <w:sz w:val="20"/>
                <w:szCs w:val="20"/>
              </w:rPr>
            </w:pPr>
            <w:r w:rsidRPr="00BC1B3F">
              <w:rPr>
                <w:sz w:val="20"/>
                <w:szCs w:val="20"/>
              </w:rPr>
              <w:t>0</w:t>
            </w:r>
          </w:p>
        </w:tc>
      </w:tr>
      <w:tr w:rsidR="000E0465" w14:paraId="232B19AD" w14:textId="77777777" w:rsidTr="00BC1B3F">
        <w:trPr>
          <w:jc w:val="center"/>
        </w:trPr>
        <w:tc>
          <w:tcPr>
            <w:tcW w:w="3860" w:type="dxa"/>
            <w:tcBorders>
              <w:top w:val="single" w:sz="8" w:space="0" w:color="000000"/>
              <w:right w:val="nil"/>
            </w:tcBorders>
            <w:shd w:val="clear" w:color="auto" w:fill="auto"/>
            <w:tcMar>
              <w:top w:w="100" w:type="dxa"/>
              <w:left w:w="100" w:type="dxa"/>
              <w:bottom w:w="100" w:type="dxa"/>
              <w:right w:w="100" w:type="dxa"/>
            </w:tcMar>
          </w:tcPr>
          <w:p w14:paraId="1620F6B2" w14:textId="77777777" w:rsidR="000E0465" w:rsidRPr="00BC1B3F" w:rsidRDefault="000E0465" w:rsidP="00BC1B3F">
            <w:pPr>
              <w:rPr>
                <w:sz w:val="20"/>
                <w:szCs w:val="20"/>
              </w:rPr>
            </w:pPr>
            <w:r w:rsidRPr="00BC1B3F">
              <w:rPr>
                <w:sz w:val="20"/>
                <w:szCs w:val="20"/>
              </w:rPr>
              <w:t>After collection and processing of PII CI</w:t>
            </w:r>
          </w:p>
        </w:tc>
        <w:tc>
          <w:tcPr>
            <w:tcW w:w="3780" w:type="dxa"/>
            <w:tcBorders>
              <w:top w:val="single" w:sz="8" w:space="0" w:color="000000"/>
              <w:left w:val="nil"/>
              <w:right w:val="nil"/>
            </w:tcBorders>
            <w:shd w:val="clear" w:color="auto" w:fill="auto"/>
            <w:tcMar>
              <w:top w:w="100" w:type="dxa"/>
              <w:left w:w="100" w:type="dxa"/>
              <w:bottom w:w="100" w:type="dxa"/>
              <w:right w:w="100" w:type="dxa"/>
            </w:tcMar>
          </w:tcPr>
          <w:p w14:paraId="09A4C1E4" w14:textId="77777777" w:rsidR="000E0465" w:rsidRPr="00BC1B3F" w:rsidRDefault="000E0465" w:rsidP="00BC1B3F">
            <w:pPr>
              <w:widowControl w:val="0"/>
              <w:rPr>
                <w:sz w:val="20"/>
                <w:szCs w:val="20"/>
              </w:rPr>
            </w:pPr>
            <w:r w:rsidRPr="00BC1B3F">
              <w:rPr>
                <w:sz w:val="20"/>
                <w:szCs w:val="20"/>
              </w:rPr>
              <w:t xml:space="preserve">Is the identification information provided non-existent or non-operable? </w:t>
            </w:r>
          </w:p>
        </w:tc>
        <w:tc>
          <w:tcPr>
            <w:tcW w:w="1720" w:type="dxa"/>
            <w:tcBorders>
              <w:top w:val="single" w:sz="8" w:space="0" w:color="000000"/>
              <w:left w:val="nil"/>
            </w:tcBorders>
            <w:shd w:val="clear" w:color="auto" w:fill="auto"/>
            <w:tcMar>
              <w:top w:w="100" w:type="dxa"/>
              <w:left w:w="100" w:type="dxa"/>
              <w:bottom w:w="100" w:type="dxa"/>
              <w:right w:w="100" w:type="dxa"/>
            </w:tcMar>
          </w:tcPr>
          <w:p w14:paraId="10AEF649" w14:textId="77777777" w:rsidR="000E0465" w:rsidRPr="00BC1B3F" w:rsidRDefault="000E0465" w:rsidP="002C1A98">
            <w:pPr>
              <w:widowControl w:val="0"/>
              <w:jc w:val="center"/>
              <w:rPr>
                <w:sz w:val="20"/>
                <w:szCs w:val="20"/>
              </w:rPr>
            </w:pPr>
            <w:r w:rsidRPr="00BC1B3F">
              <w:rPr>
                <w:sz w:val="20"/>
                <w:szCs w:val="20"/>
              </w:rPr>
              <w:t>-1</w:t>
            </w:r>
          </w:p>
        </w:tc>
      </w:tr>
    </w:tbl>
    <w:p w14:paraId="65DEB4B0" w14:textId="32E83D3D" w:rsidR="000E0465" w:rsidRDefault="000E0465" w:rsidP="000E0465">
      <w:pPr>
        <w:pStyle w:val="Heading3"/>
      </w:pPr>
      <w:r>
        <w:t xml:space="preserve">6.2.1 </w:t>
      </w:r>
      <w:r w:rsidR="00F829B9">
        <w:t>A</w:t>
      </w:r>
      <w:r>
        <w:t xml:space="preserve">nalysis of </w:t>
      </w:r>
      <w:r w:rsidR="00A74499">
        <w:t>Compulsory Identification A</w:t>
      </w:r>
      <w:r>
        <w:t>ttributes</w:t>
      </w:r>
    </w:p>
    <w:p w14:paraId="71CA3130" w14:textId="2AC45D61" w:rsidR="00A74499" w:rsidRPr="00A74499" w:rsidRDefault="000E0465" w:rsidP="00A74499">
      <w:pPr>
        <w:pBdr>
          <w:top w:val="nil"/>
          <w:left w:val="nil"/>
          <w:bottom w:val="nil"/>
          <w:right w:val="nil"/>
          <w:between w:val="nil"/>
        </w:pBdr>
        <w:rPr>
          <w:rFonts w:cs="Arial"/>
          <w:szCs w:val="22"/>
        </w:rPr>
      </w:pPr>
      <w:r w:rsidRPr="000E0465">
        <w:rPr>
          <w:rFonts w:eastAsia="Times New Roman" w:cs="Arial"/>
          <w:color w:val="000000"/>
          <w:szCs w:val="22"/>
        </w:rPr>
        <w:t xml:space="preserve">These PII Controller </w:t>
      </w:r>
      <w:r w:rsidRPr="000E0465">
        <w:rPr>
          <w:rFonts w:cs="Arial"/>
          <w:szCs w:val="22"/>
        </w:rPr>
        <w:t>identification</w:t>
      </w:r>
      <w:r w:rsidRPr="000E0465">
        <w:rPr>
          <w:rFonts w:eastAsia="Times New Roman" w:cs="Arial"/>
          <w:color w:val="000000"/>
          <w:szCs w:val="22"/>
        </w:rPr>
        <w:t xml:space="preserve"> </w:t>
      </w:r>
      <w:r w:rsidRPr="000E0465">
        <w:rPr>
          <w:rFonts w:cs="Arial"/>
          <w:szCs w:val="22"/>
        </w:rPr>
        <w:t xml:space="preserve">elements MUST be </w:t>
      </w:r>
      <w:r w:rsidRPr="000E0465">
        <w:rPr>
          <w:rFonts w:eastAsia="Times New Roman" w:cs="Arial"/>
          <w:color w:val="000000"/>
          <w:szCs w:val="22"/>
        </w:rPr>
        <w:t>provided by the PII Controller</w:t>
      </w:r>
      <w:r w:rsidRPr="000E0465">
        <w:rPr>
          <w:rFonts w:cs="Arial"/>
          <w:szCs w:val="22"/>
        </w:rPr>
        <w:t xml:space="preserve"> and are compulsory, although advanced and dynamic access, using existing records or receipts that might also meet the requirements of functional compliance</w:t>
      </w:r>
      <w:r w:rsidR="00F829B9">
        <w:rPr>
          <w:rFonts w:cs="Arial"/>
          <w:szCs w:val="22"/>
        </w:rPr>
        <w:t>.</w:t>
      </w:r>
    </w:p>
    <w:p w14:paraId="397AA29D" w14:textId="3BDEE463" w:rsidR="00142FCB" w:rsidRPr="00142FCB" w:rsidRDefault="00142FCB" w:rsidP="00A74499">
      <w:pPr>
        <w:pStyle w:val="Caption"/>
      </w:pPr>
      <w:bookmarkStart w:id="26" w:name="_Toc193376372"/>
      <w:r w:rsidRPr="00A74499">
        <w:lastRenderedPageBreak/>
        <w:t>Table</w:t>
      </w:r>
      <w:r w:rsidRPr="00142FCB">
        <w:t xml:space="preserve"> </w:t>
      </w:r>
      <w:fldSimple w:instr=" SEQ Table \* ARABIC ">
        <w:r>
          <w:rPr>
            <w:noProof/>
          </w:rPr>
          <w:t>5</w:t>
        </w:r>
      </w:fldSimple>
      <w:r w:rsidRPr="00142FCB">
        <w:t>. TPI 2 Analysis</w:t>
      </w:r>
      <w:r w:rsidR="00C76EFA">
        <w:t xml:space="preserve"> of Compulsory Information</w:t>
      </w:r>
      <w:bookmarkEnd w:id="26"/>
    </w:p>
    <w:tbl>
      <w:tblPr>
        <w:tblW w:w="9360" w:type="dxa"/>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E0465" w14:paraId="49DE74A4" w14:textId="77777777" w:rsidTr="00790065">
        <w:tc>
          <w:tcPr>
            <w:tcW w:w="3120" w:type="dxa"/>
            <w:tcBorders>
              <w:top w:val="single" w:sz="8" w:space="0" w:color="000000"/>
              <w:right w:val="nil"/>
            </w:tcBorders>
            <w:shd w:val="clear" w:color="auto" w:fill="auto"/>
            <w:tcMar>
              <w:top w:w="100" w:type="dxa"/>
              <w:left w:w="100" w:type="dxa"/>
              <w:bottom w:w="100" w:type="dxa"/>
              <w:right w:w="100" w:type="dxa"/>
            </w:tcMar>
          </w:tcPr>
          <w:p w14:paraId="77B3326C" w14:textId="77777777" w:rsidR="000E0465" w:rsidRPr="00790065" w:rsidRDefault="000E0465" w:rsidP="002C1A98">
            <w:pPr>
              <w:widowControl w:val="0"/>
              <w:pBdr>
                <w:top w:val="nil"/>
                <w:left w:val="nil"/>
                <w:bottom w:val="nil"/>
                <w:right w:val="nil"/>
                <w:between w:val="nil"/>
              </w:pBdr>
              <w:rPr>
                <w:bCs/>
                <w:sz w:val="20"/>
                <w:szCs w:val="20"/>
              </w:rPr>
            </w:pPr>
            <w:r w:rsidRPr="00790065">
              <w:rPr>
                <w:bCs/>
                <w:sz w:val="20"/>
                <w:szCs w:val="20"/>
              </w:rPr>
              <w:t>Result</w:t>
            </w:r>
          </w:p>
        </w:tc>
        <w:tc>
          <w:tcPr>
            <w:tcW w:w="3120" w:type="dxa"/>
            <w:tcBorders>
              <w:top w:val="single" w:sz="8" w:space="0" w:color="000000"/>
              <w:left w:val="nil"/>
              <w:right w:val="nil"/>
            </w:tcBorders>
            <w:shd w:val="clear" w:color="auto" w:fill="auto"/>
            <w:tcMar>
              <w:top w:w="100" w:type="dxa"/>
              <w:left w:w="100" w:type="dxa"/>
              <w:bottom w:w="100" w:type="dxa"/>
              <w:right w:w="100" w:type="dxa"/>
            </w:tcMar>
          </w:tcPr>
          <w:p w14:paraId="30A25B9C" w14:textId="77777777" w:rsidR="000E0465" w:rsidRPr="00790065" w:rsidRDefault="000E0465" w:rsidP="002C1A98">
            <w:pPr>
              <w:widowControl w:val="0"/>
              <w:pBdr>
                <w:top w:val="nil"/>
                <w:left w:val="nil"/>
                <w:bottom w:val="nil"/>
                <w:right w:val="nil"/>
                <w:between w:val="nil"/>
              </w:pBdr>
              <w:rPr>
                <w:bCs/>
                <w:sz w:val="20"/>
                <w:szCs w:val="20"/>
              </w:rPr>
            </w:pPr>
            <w:r w:rsidRPr="00790065">
              <w:rPr>
                <w:bCs/>
                <w:sz w:val="20"/>
                <w:szCs w:val="20"/>
              </w:rPr>
              <w:t>Analysis</w:t>
            </w:r>
          </w:p>
        </w:tc>
        <w:tc>
          <w:tcPr>
            <w:tcW w:w="3120" w:type="dxa"/>
            <w:tcBorders>
              <w:top w:val="single" w:sz="8" w:space="0" w:color="000000"/>
              <w:left w:val="nil"/>
            </w:tcBorders>
            <w:shd w:val="clear" w:color="auto" w:fill="auto"/>
            <w:tcMar>
              <w:top w:w="100" w:type="dxa"/>
              <w:left w:w="100" w:type="dxa"/>
              <w:bottom w:w="100" w:type="dxa"/>
              <w:right w:w="100" w:type="dxa"/>
            </w:tcMar>
          </w:tcPr>
          <w:p w14:paraId="5FA14B9B" w14:textId="77777777" w:rsidR="000E0465" w:rsidRPr="00790065" w:rsidRDefault="000E0465" w:rsidP="002C1A98">
            <w:pPr>
              <w:widowControl w:val="0"/>
              <w:pBdr>
                <w:top w:val="nil"/>
                <w:left w:val="nil"/>
                <w:bottom w:val="nil"/>
                <w:right w:val="nil"/>
                <w:between w:val="nil"/>
              </w:pBdr>
              <w:rPr>
                <w:bCs/>
                <w:sz w:val="20"/>
                <w:szCs w:val="20"/>
              </w:rPr>
            </w:pPr>
            <w:r w:rsidRPr="00790065">
              <w:rPr>
                <w:bCs/>
                <w:sz w:val="20"/>
                <w:szCs w:val="20"/>
              </w:rPr>
              <w:t>Notes</w:t>
            </w:r>
          </w:p>
        </w:tc>
      </w:tr>
      <w:tr w:rsidR="000E0465" w14:paraId="7CE288A9" w14:textId="77777777" w:rsidTr="009D297E">
        <w:tc>
          <w:tcPr>
            <w:tcW w:w="312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762D90AA" w14:textId="77777777" w:rsidR="000E0465" w:rsidRPr="00790065" w:rsidRDefault="000E0465" w:rsidP="00790065">
            <w:pPr>
              <w:widowControl w:val="0"/>
              <w:pBdr>
                <w:top w:val="nil"/>
                <w:left w:val="nil"/>
                <w:bottom w:val="nil"/>
                <w:right w:val="nil"/>
                <w:between w:val="nil"/>
              </w:pBdr>
              <w:rPr>
                <w:bCs/>
                <w:sz w:val="20"/>
                <w:szCs w:val="20"/>
              </w:rPr>
            </w:pPr>
            <w:r w:rsidRPr="00790065">
              <w:rPr>
                <w:bCs/>
                <w:sz w:val="20"/>
                <w:szCs w:val="20"/>
              </w:rPr>
              <w:t>+1</w:t>
            </w:r>
          </w:p>
        </w:tc>
        <w:tc>
          <w:tcPr>
            <w:tcW w:w="312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4D13C8D6" w14:textId="77777777" w:rsidR="000E0465" w:rsidRPr="00790065" w:rsidRDefault="000E0465" w:rsidP="00790065">
            <w:pPr>
              <w:widowControl w:val="0"/>
              <w:pBdr>
                <w:top w:val="nil"/>
                <w:left w:val="nil"/>
                <w:bottom w:val="nil"/>
                <w:right w:val="nil"/>
                <w:between w:val="nil"/>
              </w:pBdr>
              <w:rPr>
                <w:bCs/>
                <w:sz w:val="20"/>
                <w:szCs w:val="20"/>
              </w:rPr>
            </w:pPr>
            <w:r w:rsidRPr="00790065">
              <w:rPr>
                <w:bCs/>
                <w:sz w:val="20"/>
                <w:szCs w:val="20"/>
              </w:rPr>
              <w:t>100% of the required attributes are presented</w:t>
            </w:r>
          </w:p>
        </w:tc>
        <w:tc>
          <w:tcPr>
            <w:tcW w:w="3120"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0B0C95FC" w14:textId="414E7273" w:rsidR="000E0465" w:rsidRPr="00790065" w:rsidRDefault="2B73251C" w:rsidP="00790065">
            <w:pPr>
              <w:widowControl w:val="0"/>
              <w:pBdr>
                <w:top w:val="nil"/>
                <w:left w:val="nil"/>
                <w:bottom w:val="nil"/>
                <w:right w:val="nil"/>
                <w:between w:val="nil"/>
              </w:pBdr>
              <w:spacing w:line="259" w:lineRule="auto"/>
              <w:rPr>
                <w:bCs/>
                <w:sz w:val="20"/>
                <w:szCs w:val="20"/>
              </w:rPr>
            </w:pPr>
            <w:r w:rsidRPr="00D87DBD">
              <w:rPr>
                <w:rFonts w:eastAsia="Arial" w:cs="Arial"/>
                <w:bCs/>
                <w:color w:val="000000" w:themeColor="text1"/>
                <w:sz w:val="20"/>
                <w:szCs w:val="20"/>
              </w:rPr>
              <w:t>The required PII controller identification information</w:t>
            </w:r>
            <w:r w:rsidR="67FAF97A" w:rsidRPr="00D87DBD">
              <w:rPr>
                <w:rFonts w:eastAsia="Arial" w:cs="Arial"/>
                <w:bCs/>
                <w:color w:val="000000" w:themeColor="text1"/>
                <w:sz w:val="20"/>
                <w:szCs w:val="20"/>
              </w:rPr>
              <w:t xml:space="preserve"> </w:t>
            </w:r>
            <w:r w:rsidRPr="00D87DBD">
              <w:rPr>
                <w:rFonts w:eastAsia="Arial" w:cs="Arial"/>
                <w:bCs/>
                <w:color w:val="000000" w:themeColor="text1"/>
                <w:sz w:val="20"/>
                <w:szCs w:val="20"/>
              </w:rPr>
              <w:t xml:space="preserve">for a </w:t>
            </w:r>
            <w:r w:rsidR="754CCD2C" w:rsidRPr="00D87DBD">
              <w:rPr>
                <w:rFonts w:eastAsia="Arial" w:cs="Arial"/>
                <w:bCs/>
                <w:color w:val="000000" w:themeColor="text1"/>
                <w:sz w:val="20"/>
                <w:szCs w:val="20"/>
              </w:rPr>
              <w:t>r</w:t>
            </w:r>
            <w:r w:rsidRPr="00D87DBD">
              <w:rPr>
                <w:rFonts w:eastAsia="Arial" w:cs="Arial"/>
                <w:bCs/>
                <w:color w:val="000000" w:themeColor="text1"/>
                <w:sz w:val="20"/>
                <w:szCs w:val="20"/>
              </w:rPr>
              <w:t xml:space="preserve">ecord of processing activity that </w:t>
            </w:r>
            <w:r w:rsidR="34A1ED47" w:rsidRPr="00D87DBD">
              <w:rPr>
                <w:rFonts w:eastAsia="Arial" w:cs="Arial"/>
                <w:bCs/>
                <w:color w:val="000000" w:themeColor="text1"/>
                <w:sz w:val="20"/>
                <w:szCs w:val="20"/>
              </w:rPr>
              <w:t xml:space="preserve">allows the external discovery of the </w:t>
            </w:r>
            <w:r w:rsidRPr="00D87DBD">
              <w:rPr>
                <w:rFonts w:eastAsia="Arial" w:cs="Arial"/>
                <w:bCs/>
                <w:color w:val="000000" w:themeColor="text1"/>
                <w:sz w:val="20"/>
                <w:szCs w:val="20"/>
              </w:rPr>
              <w:t>controller, legal entity name, address,</w:t>
            </w:r>
            <w:r w:rsidR="1F2B7C34" w:rsidRPr="00D87DBD">
              <w:rPr>
                <w:rFonts w:eastAsia="Arial" w:cs="Arial"/>
                <w:bCs/>
                <w:color w:val="000000" w:themeColor="text1"/>
                <w:sz w:val="20"/>
                <w:szCs w:val="20"/>
              </w:rPr>
              <w:t xml:space="preserve"> </w:t>
            </w:r>
            <w:r w:rsidRPr="00D87DBD">
              <w:rPr>
                <w:rFonts w:eastAsia="Arial" w:cs="Arial"/>
                <w:bCs/>
                <w:color w:val="000000" w:themeColor="text1"/>
                <w:sz w:val="20"/>
                <w:szCs w:val="20"/>
              </w:rPr>
              <w:t xml:space="preserve">data </w:t>
            </w:r>
            <w:r w:rsidR="18941195" w:rsidRPr="00D87DBD">
              <w:rPr>
                <w:rFonts w:eastAsia="Arial" w:cs="Arial"/>
                <w:bCs/>
                <w:color w:val="000000" w:themeColor="text1"/>
                <w:sz w:val="20"/>
                <w:szCs w:val="20"/>
              </w:rPr>
              <w:t xml:space="preserve">sovereignty, including </w:t>
            </w:r>
            <w:bookmarkStart w:id="27" w:name="_Int_cjqV0Qmx"/>
            <w:r w:rsidR="7F3E5886" w:rsidRPr="00D87DBD">
              <w:rPr>
                <w:rFonts w:eastAsia="Arial" w:cs="Arial"/>
                <w:bCs/>
                <w:color w:val="000000" w:themeColor="text1"/>
                <w:sz w:val="20"/>
                <w:szCs w:val="20"/>
              </w:rPr>
              <w:t>jurisdiction</w:t>
            </w:r>
            <w:bookmarkEnd w:id="27"/>
            <w:r w:rsidRPr="00D87DBD">
              <w:rPr>
                <w:rFonts w:eastAsia="Arial" w:cs="Arial"/>
                <w:bCs/>
                <w:color w:val="000000" w:themeColor="text1"/>
                <w:sz w:val="20"/>
                <w:szCs w:val="20"/>
              </w:rPr>
              <w:t xml:space="preserve">, and </w:t>
            </w:r>
            <w:r w:rsidRPr="00790065">
              <w:rPr>
                <w:rFonts w:eastAsia="Arial" w:cs="Arial"/>
                <w:bCs/>
                <w:sz w:val="20"/>
                <w:szCs w:val="20"/>
              </w:rPr>
              <w:t xml:space="preserve">privacy access point.     </w:t>
            </w:r>
          </w:p>
        </w:tc>
      </w:tr>
      <w:tr w:rsidR="009D297E" w14:paraId="1A0739CA" w14:textId="77777777" w:rsidTr="009D297E">
        <w:tc>
          <w:tcPr>
            <w:tcW w:w="312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02933CBB" w14:textId="144E9EF7" w:rsidR="009D297E" w:rsidRPr="00790065" w:rsidRDefault="009D297E" w:rsidP="00790065">
            <w:pPr>
              <w:widowControl w:val="0"/>
              <w:pBdr>
                <w:top w:val="nil"/>
                <w:left w:val="nil"/>
                <w:bottom w:val="nil"/>
                <w:right w:val="nil"/>
                <w:between w:val="nil"/>
              </w:pBdr>
              <w:rPr>
                <w:bCs/>
                <w:sz w:val="20"/>
                <w:szCs w:val="20"/>
              </w:rPr>
            </w:pPr>
            <w:r w:rsidRPr="00790065">
              <w:rPr>
                <w:bCs/>
                <w:sz w:val="20"/>
                <w:szCs w:val="20"/>
              </w:rPr>
              <w:t>0</w:t>
            </w:r>
          </w:p>
        </w:tc>
        <w:tc>
          <w:tcPr>
            <w:tcW w:w="312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658D81A9" w14:textId="37C38F11" w:rsidR="009D297E" w:rsidRPr="00790065" w:rsidRDefault="009D297E" w:rsidP="00790065">
            <w:pPr>
              <w:widowControl w:val="0"/>
              <w:pBdr>
                <w:top w:val="nil"/>
                <w:left w:val="nil"/>
                <w:bottom w:val="nil"/>
                <w:right w:val="nil"/>
                <w:between w:val="nil"/>
              </w:pBdr>
              <w:rPr>
                <w:bCs/>
                <w:sz w:val="20"/>
                <w:szCs w:val="20"/>
              </w:rPr>
            </w:pPr>
            <w:r w:rsidRPr="00790065">
              <w:rPr>
                <w:bCs/>
                <w:sz w:val="20"/>
                <w:szCs w:val="20"/>
              </w:rPr>
              <w:t>90% (“most) of the controller information is provided and/or security and privacy rights access point not provided.</w:t>
            </w:r>
          </w:p>
        </w:tc>
        <w:tc>
          <w:tcPr>
            <w:tcW w:w="3120"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00B4254A" w14:textId="12735698" w:rsidR="009D297E" w:rsidRPr="00790065" w:rsidRDefault="009D297E" w:rsidP="00790065">
            <w:pPr>
              <w:widowControl w:val="0"/>
              <w:pBdr>
                <w:top w:val="nil"/>
                <w:left w:val="nil"/>
                <w:bottom w:val="nil"/>
                <w:right w:val="nil"/>
                <w:between w:val="nil"/>
              </w:pBdr>
              <w:spacing w:line="259" w:lineRule="auto"/>
              <w:rPr>
                <w:rFonts w:eastAsia="Arial" w:cs="Arial"/>
                <w:bCs/>
                <w:sz w:val="20"/>
                <w:szCs w:val="20"/>
              </w:rPr>
            </w:pPr>
            <w:r>
              <w:rPr>
                <w:bCs/>
                <w:sz w:val="20"/>
                <w:szCs w:val="20"/>
              </w:rPr>
              <w:t>P</w:t>
            </w:r>
            <w:r w:rsidRPr="00790065">
              <w:rPr>
                <w:bCs/>
                <w:sz w:val="20"/>
                <w:szCs w:val="20"/>
              </w:rPr>
              <w:t>artial digital transparency, can be compliant in physically secure and in person, or out of digitally recorded context for explicit consent.</w:t>
            </w:r>
          </w:p>
        </w:tc>
      </w:tr>
      <w:tr w:rsidR="009D297E" w14:paraId="6A080736" w14:textId="77777777" w:rsidTr="00790065">
        <w:tc>
          <w:tcPr>
            <w:tcW w:w="3120" w:type="dxa"/>
            <w:tcBorders>
              <w:top w:val="single" w:sz="8" w:space="0" w:color="000000"/>
              <w:right w:val="nil"/>
            </w:tcBorders>
            <w:shd w:val="clear" w:color="auto" w:fill="auto"/>
            <w:tcMar>
              <w:top w:w="100" w:type="dxa"/>
              <w:left w:w="100" w:type="dxa"/>
              <w:bottom w:w="100" w:type="dxa"/>
              <w:right w:w="100" w:type="dxa"/>
            </w:tcMar>
          </w:tcPr>
          <w:p w14:paraId="02723F90" w14:textId="0AA89BB9" w:rsidR="009D297E" w:rsidRPr="00790065" w:rsidRDefault="009D297E" w:rsidP="00790065">
            <w:pPr>
              <w:widowControl w:val="0"/>
              <w:pBdr>
                <w:top w:val="nil"/>
                <w:left w:val="nil"/>
                <w:bottom w:val="nil"/>
                <w:right w:val="nil"/>
                <w:between w:val="nil"/>
              </w:pBdr>
              <w:rPr>
                <w:bCs/>
                <w:sz w:val="20"/>
                <w:szCs w:val="20"/>
              </w:rPr>
            </w:pPr>
            <w:r w:rsidRPr="00790065">
              <w:rPr>
                <w:sz w:val="20"/>
                <w:szCs w:val="20"/>
              </w:rPr>
              <w:t>-1</w:t>
            </w:r>
          </w:p>
        </w:tc>
        <w:tc>
          <w:tcPr>
            <w:tcW w:w="3120" w:type="dxa"/>
            <w:tcBorders>
              <w:top w:val="single" w:sz="8" w:space="0" w:color="000000"/>
              <w:left w:val="nil"/>
              <w:right w:val="nil"/>
            </w:tcBorders>
            <w:shd w:val="clear" w:color="auto" w:fill="auto"/>
            <w:tcMar>
              <w:top w:w="100" w:type="dxa"/>
              <w:left w:w="100" w:type="dxa"/>
              <w:bottom w:w="100" w:type="dxa"/>
              <w:right w:w="100" w:type="dxa"/>
            </w:tcMar>
          </w:tcPr>
          <w:p w14:paraId="73FD28EA" w14:textId="11BDBA44" w:rsidR="009D297E" w:rsidRPr="00790065" w:rsidRDefault="009D297E" w:rsidP="00790065">
            <w:pPr>
              <w:widowControl w:val="0"/>
              <w:pBdr>
                <w:top w:val="nil"/>
                <w:left w:val="nil"/>
                <w:bottom w:val="nil"/>
                <w:right w:val="nil"/>
                <w:between w:val="nil"/>
              </w:pBdr>
              <w:rPr>
                <w:bCs/>
                <w:sz w:val="20"/>
                <w:szCs w:val="20"/>
              </w:rPr>
            </w:pPr>
            <w:r w:rsidRPr="00790065">
              <w:rPr>
                <w:sz w:val="20"/>
                <w:szCs w:val="20"/>
              </w:rPr>
              <w:t>Any listed controller identification information is missing.</w:t>
            </w:r>
          </w:p>
        </w:tc>
        <w:tc>
          <w:tcPr>
            <w:tcW w:w="3120" w:type="dxa"/>
            <w:tcBorders>
              <w:top w:val="single" w:sz="8" w:space="0" w:color="000000"/>
              <w:left w:val="nil"/>
            </w:tcBorders>
            <w:shd w:val="clear" w:color="auto" w:fill="auto"/>
            <w:tcMar>
              <w:top w:w="100" w:type="dxa"/>
              <w:left w:w="100" w:type="dxa"/>
              <w:bottom w:w="100" w:type="dxa"/>
              <w:right w:w="100" w:type="dxa"/>
            </w:tcMar>
          </w:tcPr>
          <w:p w14:paraId="52177C4A" w14:textId="36CA70C2" w:rsidR="009D297E" w:rsidRPr="00790065" w:rsidRDefault="009D297E" w:rsidP="00790065">
            <w:pPr>
              <w:widowControl w:val="0"/>
              <w:pBdr>
                <w:top w:val="nil"/>
                <w:left w:val="nil"/>
                <w:bottom w:val="nil"/>
                <w:right w:val="nil"/>
                <w:between w:val="nil"/>
              </w:pBdr>
              <w:spacing w:line="259" w:lineRule="auto"/>
              <w:rPr>
                <w:rFonts w:eastAsia="Arial" w:cs="Arial"/>
                <w:bCs/>
                <w:sz w:val="20"/>
                <w:szCs w:val="20"/>
              </w:rPr>
            </w:pPr>
            <w:r w:rsidRPr="00790065">
              <w:rPr>
                <w:sz w:val="20"/>
                <w:szCs w:val="20"/>
              </w:rPr>
              <w:t>----</w:t>
            </w:r>
          </w:p>
        </w:tc>
      </w:tr>
    </w:tbl>
    <w:p w14:paraId="6CB37256" w14:textId="3C75F61A" w:rsidR="00A74499" w:rsidRPr="009D297E" w:rsidRDefault="00A74499">
      <w:pPr>
        <w:rPr>
          <w:i/>
          <w:iCs/>
          <w:sz w:val="18"/>
          <w:szCs w:val="18"/>
        </w:rPr>
      </w:pPr>
      <w:r>
        <w:tab/>
      </w:r>
      <w:r>
        <w:tab/>
      </w:r>
      <w:r>
        <w:tab/>
      </w:r>
      <w:r>
        <w:tab/>
      </w:r>
      <w:r>
        <w:tab/>
      </w:r>
      <w:r>
        <w:tab/>
      </w:r>
      <w:r>
        <w:tab/>
      </w:r>
      <w:r>
        <w:tab/>
      </w:r>
      <w:r>
        <w:tab/>
      </w:r>
    </w:p>
    <w:p w14:paraId="3993BFC0" w14:textId="77777777" w:rsidR="00EB5D7C" w:rsidRDefault="00EB5D7C">
      <w:pPr>
        <w:spacing w:line="240" w:lineRule="auto"/>
        <w:rPr>
          <w:rFonts w:eastAsiaTheme="majorEastAsia" w:cstheme="majorBidi"/>
          <w:b/>
          <w:color w:val="000000" w:themeColor="text1"/>
          <w:sz w:val="24"/>
          <w:szCs w:val="28"/>
        </w:rPr>
      </w:pPr>
      <w:r>
        <w:br w:type="page"/>
      </w:r>
    </w:p>
    <w:p w14:paraId="5772FB11" w14:textId="782EE1A7" w:rsidR="00F829B9" w:rsidRDefault="000E0465" w:rsidP="0092690C">
      <w:pPr>
        <w:pStyle w:val="Heading3"/>
      </w:pPr>
      <w:r>
        <w:lastRenderedPageBreak/>
        <w:t xml:space="preserve">6.2.2 Legal &amp; standards references for compulsory identification elements  </w:t>
      </w:r>
    </w:p>
    <w:p w14:paraId="18B33624" w14:textId="468F43E7" w:rsidR="00142FCB" w:rsidRPr="00142FCB" w:rsidRDefault="00142FCB" w:rsidP="00A74499">
      <w:pPr>
        <w:pStyle w:val="Caption"/>
      </w:pPr>
      <w:bookmarkStart w:id="28" w:name="_Toc193376373"/>
      <w:r w:rsidRPr="00142FCB">
        <w:t xml:space="preserve">Table </w:t>
      </w:r>
      <w:fldSimple w:instr=" SEQ Table \* ARABIC ">
        <w:r>
          <w:rPr>
            <w:noProof/>
          </w:rPr>
          <w:t>6</w:t>
        </w:r>
      </w:fldSimple>
      <w:r w:rsidRPr="00142FCB">
        <w:t>. TPI 2 Legal and Standards References</w:t>
      </w:r>
      <w:bookmarkEnd w:id="28"/>
    </w:p>
    <w:tbl>
      <w:tblPr>
        <w:tblW w:w="9360" w:type="dxa"/>
        <w:jc w:val="center"/>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1710"/>
        <w:gridCol w:w="5410"/>
      </w:tblGrid>
      <w:tr w:rsidR="000E0465" w14:paraId="634E790E" w14:textId="77777777" w:rsidTr="0092690C">
        <w:trPr>
          <w:trHeight w:val="470"/>
          <w:jc w:val="center"/>
        </w:trPr>
        <w:tc>
          <w:tcPr>
            <w:tcW w:w="2240" w:type="dxa"/>
            <w:tcBorders>
              <w:top w:val="single" w:sz="8" w:space="0" w:color="000000"/>
              <w:right w:val="nil"/>
            </w:tcBorders>
            <w:shd w:val="clear" w:color="auto" w:fill="auto"/>
            <w:tcMar>
              <w:top w:w="100" w:type="dxa"/>
              <w:left w:w="100" w:type="dxa"/>
              <w:bottom w:w="100" w:type="dxa"/>
              <w:right w:w="100" w:type="dxa"/>
            </w:tcMar>
          </w:tcPr>
          <w:p w14:paraId="57FD4444" w14:textId="77777777" w:rsidR="000E0465" w:rsidRPr="0092690C" w:rsidRDefault="000E0465" w:rsidP="0092690C">
            <w:pPr>
              <w:widowControl w:val="0"/>
              <w:pBdr>
                <w:top w:val="nil"/>
                <w:left w:val="nil"/>
                <w:bottom w:val="nil"/>
                <w:right w:val="nil"/>
                <w:between w:val="nil"/>
              </w:pBdr>
              <w:rPr>
                <w:bCs/>
                <w:color w:val="000000" w:themeColor="text1"/>
                <w:sz w:val="20"/>
                <w:szCs w:val="20"/>
              </w:rPr>
            </w:pPr>
            <w:r w:rsidRPr="0092690C">
              <w:rPr>
                <w:bCs/>
                <w:color w:val="000000" w:themeColor="text1"/>
                <w:sz w:val="20"/>
                <w:szCs w:val="20"/>
              </w:rPr>
              <w:t xml:space="preserve">Reference Controller identification </w:t>
            </w:r>
          </w:p>
        </w:tc>
        <w:tc>
          <w:tcPr>
            <w:tcW w:w="1710" w:type="dxa"/>
            <w:tcBorders>
              <w:top w:val="single" w:sz="8" w:space="0" w:color="000000"/>
              <w:left w:val="nil"/>
              <w:right w:val="nil"/>
            </w:tcBorders>
            <w:shd w:val="clear" w:color="auto" w:fill="auto"/>
            <w:tcMar>
              <w:top w:w="100" w:type="dxa"/>
              <w:left w:w="100" w:type="dxa"/>
              <w:bottom w:w="100" w:type="dxa"/>
              <w:right w:w="100" w:type="dxa"/>
            </w:tcMar>
          </w:tcPr>
          <w:p w14:paraId="2A30BBC5" w14:textId="77777777" w:rsidR="000E0465" w:rsidRPr="0092690C" w:rsidRDefault="000E0465" w:rsidP="0092690C">
            <w:pPr>
              <w:widowControl w:val="0"/>
              <w:jc w:val="center"/>
              <w:rPr>
                <w:bCs/>
                <w:color w:val="000000" w:themeColor="text1"/>
                <w:sz w:val="20"/>
                <w:szCs w:val="20"/>
              </w:rPr>
            </w:pPr>
            <w:r w:rsidRPr="0092690C">
              <w:rPr>
                <w:bCs/>
                <w:color w:val="000000" w:themeColor="text1"/>
                <w:sz w:val="20"/>
                <w:szCs w:val="20"/>
              </w:rPr>
              <w:t>Reference</w:t>
            </w:r>
          </w:p>
        </w:tc>
        <w:tc>
          <w:tcPr>
            <w:tcW w:w="5410" w:type="dxa"/>
            <w:tcBorders>
              <w:top w:val="single" w:sz="8" w:space="0" w:color="000000"/>
              <w:left w:val="nil"/>
            </w:tcBorders>
            <w:shd w:val="clear" w:color="auto" w:fill="auto"/>
            <w:tcMar>
              <w:top w:w="100" w:type="dxa"/>
              <w:left w:w="100" w:type="dxa"/>
              <w:bottom w:w="100" w:type="dxa"/>
              <w:right w:w="100" w:type="dxa"/>
            </w:tcMar>
          </w:tcPr>
          <w:p w14:paraId="2AA050F4" w14:textId="77777777" w:rsidR="000E0465" w:rsidRPr="0092690C" w:rsidRDefault="000E0465" w:rsidP="0092690C">
            <w:pPr>
              <w:widowControl w:val="0"/>
              <w:pBdr>
                <w:top w:val="nil"/>
                <w:left w:val="nil"/>
                <w:bottom w:val="nil"/>
                <w:right w:val="nil"/>
                <w:between w:val="nil"/>
              </w:pBdr>
              <w:jc w:val="center"/>
              <w:rPr>
                <w:bCs/>
                <w:color w:val="000000" w:themeColor="text1"/>
                <w:sz w:val="20"/>
                <w:szCs w:val="20"/>
              </w:rPr>
            </w:pPr>
            <w:r w:rsidRPr="0092690C">
              <w:rPr>
                <w:bCs/>
                <w:color w:val="000000" w:themeColor="text1"/>
                <w:sz w:val="20"/>
                <w:szCs w:val="20"/>
              </w:rPr>
              <w:t>Quote</w:t>
            </w:r>
          </w:p>
        </w:tc>
      </w:tr>
      <w:tr w:rsidR="000E0465" w14:paraId="35F3803E" w14:textId="77777777" w:rsidTr="00EB5D7C">
        <w:trPr>
          <w:jc w:val="center"/>
        </w:trPr>
        <w:tc>
          <w:tcPr>
            <w:tcW w:w="224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5486F4D0" w14:textId="77777777" w:rsidR="000E0465" w:rsidRPr="0092690C" w:rsidRDefault="000E0465" w:rsidP="0C2E1696">
            <w:pPr>
              <w:widowControl w:val="0"/>
              <w:pBdr>
                <w:top w:val="nil"/>
                <w:left w:val="nil"/>
                <w:bottom w:val="nil"/>
                <w:right w:val="nil"/>
                <w:between w:val="nil"/>
              </w:pBdr>
              <w:rPr>
                <w:color w:val="000000" w:themeColor="text1"/>
                <w:sz w:val="20"/>
                <w:szCs w:val="20"/>
              </w:rPr>
            </w:pPr>
            <w:r w:rsidRPr="0092690C">
              <w:rPr>
                <w:color w:val="000000" w:themeColor="text1"/>
                <w:sz w:val="20"/>
                <w:szCs w:val="20"/>
              </w:rPr>
              <w:t>CoE 108 + (Code of Conduct)</w:t>
            </w:r>
          </w:p>
        </w:tc>
        <w:tc>
          <w:tcPr>
            <w:tcW w:w="171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86AAA86" w14:textId="77777777" w:rsidR="000E0465" w:rsidRPr="0092690C" w:rsidRDefault="000E0465" w:rsidP="0092690C">
            <w:pPr>
              <w:widowControl w:val="0"/>
              <w:pBdr>
                <w:top w:val="nil"/>
                <w:left w:val="nil"/>
                <w:bottom w:val="nil"/>
                <w:right w:val="nil"/>
                <w:between w:val="nil"/>
              </w:pBdr>
              <w:jc w:val="center"/>
              <w:rPr>
                <w:color w:val="000000" w:themeColor="text1"/>
                <w:sz w:val="20"/>
                <w:szCs w:val="20"/>
              </w:rPr>
            </w:pPr>
            <w:r w:rsidRPr="0092690C">
              <w:rPr>
                <w:color w:val="000000" w:themeColor="text1"/>
                <w:sz w:val="20"/>
                <w:szCs w:val="20"/>
              </w:rPr>
              <w:t>Recital 68 p.23</w:t>
            </w:r>
          </w:p>
        </w:tc>
        <w:tc>
          <w:tcPr>
            <w:tcW w:w="5410"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0F1CC427"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Information on the name and address of the controller</w:t>
            </w:r>
          </w:p>
          <w:p w14:paraId="5D9DCE1A"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 the right of everyone not to be subject to a</w:t>
            </w:r>
          </w:p>
          <w:p w14:paraId="255DAB53" w14:textId="67E52441"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purely automated decision significantly affecting them without having their views taken</w:t>
            </w:r>
          </w:p>
          <w:p w14:paraId="158258F6" w14:textId="0753F6E0"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into consideration (</w:t>
            </w:r>
            <w:proofErr w:type="spellStart"/>
            <w:r w:rsidRPr="0092690C">
              <w:rPr>
                <w:color w:val="000000" w:themeColor="text1"/>
                <w:sz w:val="20"/>
                <w:szCs w:val="20"/>
              </w:rPr>
              <w:t>littera</w:t>
            </w:r>
            <w:proofErr w:type="spellEnd"/>
            <w:r w:rsidRPr="0092690C">
              <w:rPr>
                <w:color w:val="000000" w:themeColor="text1"/>
                <w:sz w:val="20"/>
                <w:szCs w:val="20"/>
              </w:rPr>
              <w:t xml:space="preserve"> a.</w:t>
            </w:r>
            <w:r w:rsidR="5A39BA65" w:rsidRPr="0092690C">
              <w:rPr>
                <w:color w:val="000000" w:themeColor="text1"/>
                <w:sz w:val="20"/>
                <w:szCs w:val="20"/>
              </w:rPr>
              <w:t>);</w:t>
            </w:r>
          </w:p>
          <w:p w14:paraId="449B859F"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 the right of everyone to request confirmation</w:t>
            </w:r>
          </w:p>
          <w:p w14:paraId="1D61FDB4"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of a processing of data relating to them and</w:t>
            </w:r>
          </w:p>
          <w:p w14:paraId="534EAD2B"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(or co-controllers), the legal basis and the purposes of</w:t>
            </w:r>
          </w:p>
          <w:p w14:paraId="0C562F1A"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the data processing, the categories of data processed</w:t>
            </w:r>
          </w:p>
          <w:p w14:paraId="6159C22C"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to access the data at reasonable intervals and</w:t>
            </w:r>
          </w:p>
          <w:p w14:paraId="4B7B07FF"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without excessive delay or expense (</w:t>
            </w:r>
            <w:proofErr w:type="spellStart"/>
            <w:r w:rsidRPr="0092690C">
              <w:rPr>
                <w:color w:val="000000" w:themeColor="text1"/>
                <w:sz w:val="20"/>
                <w:szCs w:val="20"/>
              </w:rPr>
              <w:t>littera</w:t>
            </w:r>
            <w:proofErr w:type="spellEnd"/>
            <w:r w:rsidRPr="0092690C">
              <w:rPr>
                <w:color w:val="000000" w:themeColor="text1"/>
                <w:sz w:val="20"/>
                <w:szCs w:val="20"/>
              </w:rPr>
              <w:t xml:space="preserve"> b.);</w:t>
            </w:r>
          </w:p>
          <w:p w14:paraId="49EE9EB3"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and recipients, as well as the means of exercising the</w:t>
            </w:r>
          </w:p>
          <w:p w14:paraId="624B036E"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 the right of everyone to be provided, on</w:t>
            </w:r>
          </w:p>
          <w:p w14:paraId="72CF7AF5" w14:textId="77777777" w:rsidR="000E0465" w:rsidRPr="0092690C" w:rsidRDefault="000E0465" w:rsidP="002C1A98">
            <w:pPr>
              <w:widowControl w:val="0"/>
              <w:spacing w:line="276" w:lineRule="auto"/>
              <w:rPr>
                <w:color w:val="000000" w:themeColor="text1"/>
                <w:sz w:val="20"/>
                <w:szCs w:val="20"/>
              </w:rPr>
            </w:pPr>
            <w:r w:rsidRPr="0092690C">
              <w:rPr>
                <w:color w:val="000000" w:themeColor="text1"/>
                <w:sz w:val="20"/>
                <w:szCs w:val="20"/>
              </w:rPr>
              <w:t>rights can be provided in any appropriate format</w:t>
            </w:r>
          </w:p>
          <w:p w14:paraId="1CAD0DB4" w14:textId="77777777" w:rsidR="000E0465" w:rsidRPr="0092690C" w:rsidRDefault="000E0465" w:rsidP="002C1A98">
            <w:pPr>
              <w:widowControl w:val="0"/>
              <w:pBdr>
                <w:top w:val="nil"/>
                <w:left w:val="nil"/>
                <w:bottom w:val="nil"/>
                <w:right w:val="nil"/>
                <w:between w:val="nil"/>
              </w:pBdr>
              <w:rPr>
                <w:color w:val="000000" w:themeColor="text1"/>
                <w:sz w:val="20"/>
                <w:szCs w:val="20"/>
              </w:rPr>
            </w:pPr>
          </w:p>
        </w:tc>
      </w:tr>
      <w:tr w:rsidR="00EB5D7C" w14:paraId="2372D6AA" w14:textId="77777777" w:rsidTr="00EB5D7C">
        <w:trPr>
          <w:jc w:val="center"/>
        </w:trPr>
        <w:tc>
          <w:tcPr>
            <w:tcW w:w="224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4FF94EB8" w14:textId="726DA2AD" w:rsidR="00EB5D7C" w:rsidRPr="0092690C" w:rsidRDefault="00EB5D7C" w:rsidP="00EB5D7C">
            <w:pPr>
              <w:widowControl w:val="0"/>
              <w:pBdr>
                <w:top w:val="nil"/>
                <w:left w:val="nil"/>
                <w:bottom w:val="nil"/>
                <w:right w:val="nil"/>
                <w:between w:val="nil"/>
              </w:pBdr>
              <w:rPr>
                <w:color w:val="000000" w:themeColor="text1"/>
                <w:sz w:val="20"/>
                <w:szCs w:val="20"/>
              </w:rPr>
            </w:pPr>
            <w:r w:rsidRPr="0092690C">
              <w:rPr>
                <w:color w:val="000000" w:themeColor="text1"/>
                <w:sz w:val="20"/>
                <w:szCs w:val="20"/>
              </w:rPr>
              <w:t>GDPR</w:t>
            </w:r>
          </w:p>
        </w:tc>
        <w:tc>
          <w:tcPr>
            <w:tcW w:w="171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2A4DB6C5" w14:textId="57205B58" w:rsidR="00EB5D7C" w:rsidRPr="0092690C" w:rsidRDefault="00EB5D7C" w:rsidP="00EB5D7C">
            <w:pPr>
              <w:widowControl w:val="0"/>
              <w:pBdr>
                <w:top w:val="nil"/>
                <w:left w:val="nil"/>
                <w:bottom w:val="nil"/>
                <w:right w:val="nil"/>
                <w:between w:val="nil"/>
              </w:pBdr>
              <w:jc w:val="center"/>
              <w:rPr>
                <w:color w:val="000000" w:themeColor="text1"/>
                <w:sz w:val="20"/>
                <w:szCs w:val="20"/>
              </w:rPr>
            </w:pPr>
            <w:r w:rsidRPr="0092690C">
              <w:rPr>
                <w:color w:val="000000" w:themeColor="text1"/>
                <w:sz w:val="20"/>
                <w:szCs w:val="20"/>
              </w:rPr>
              <w:t>Article 13.1, 14.1</w:t>
            </w:r>
          </w:p>
        </w:tc>
        <w:tc>
          <w:tcPr>
            <w:tcW w:w="5410"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06EB8752" w14:textId="77777777" w:rsidR="00EB5D7C" w:rsidRPr="0092690C" w:rsidRDefault="00EB5D7C" w:rsidP="00EB5D7C">
            <w:pPr>
              <w:widowControl w:val="0"/>
              <w:spacing w:line="276" w:lineRule="auto"/>
              <w:rPr>
                <w:color w:val="000000" w:themeColor="text1"/>
                <w:sz w:val="20"/>
                <w:szCs w:val="20"/>
              </w:rPr>
            </w:pPr>
            <w:r w:rsidRPr="0092690C">
              <w:rPr>
                <w:color w:val="000000" w:themeColor="text1"/>
                <w:sz w:val="20"/>
                <w:szCs w:val="20"/>
              </w:rPr>
              <w:t>(a) the identity and the contact details of the controller and, where applicable, of the controller's representative;</w:t>
            </w:r>
          </w:p>
          <w:p w14:paraId="026979D0" w14:textId="14B317A1" w:rsidR="00EB5D7C" w:rsidRPr="0092690C" w:rsidRDefault="00EB5D7C" w:rsidP="00EB5D7C">
            <w:pPr>
              <w:widowControl w:val="0"/>
              <w:spacing w:line="276" w:lineRule="auto"/>
              <w:rPr>
                <w:color w:val="000000" w:themeColor="text1"/>
                <w:sz w:val="20"/>
                <w:szCs w:val="20"/>
              </w:rPr>
            </w:pPr>
            <w:r w:rsidRPr="0092690C">
              <w:rPr>
                <w:color w:val="000000" w:themeColor="text1"/>
                <w:sz w:val="20"/>
                <w:szCs w:val="20"/>
              </w:rPr>
              <w:t>(b) the contact details of the data protection officer, where applicable;</w:t>
            </w:r>
          </w:p>
        </w:tc>
      </w:tr>
      <w:tr w:rsidR="00EB5D7C" w14:paraId="3077E917" w14:textId="77777777" w:rsidTr="00EB5D7C">
        <w:trPr>
          <w:jc w:val="center"/>
        </w:trPr>
        <w:tc>
          <w:tcPr>
            <w:tcW w:w="224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551348CD" w14:textId="61B511C9" w:rsidR="00EB5D7C" w:rsidRPr="0092690C" w:rsidRDefault="00EB5D7C" w:rsidP="00EB5D7C">
            <w:pPr>
              <w:widowControl w:val="0"/>
              <w:pBdr>
                <w:top w:val="nil"/>
                <w:left w:val="nil"/>
                <w:bottom w:val="nil"/>
                <w:right w:val="nil"/>
                <w:between w:val="nil"/>
              </w:pBdr>
              <w:rPr>
                <w:color w:val="000000" w:themeColor="text1"/>
                <w:sz w:val="20"/>
                <w:szCs w:val="20"/>
              </w:rPr>
            </w:pPr>
            <w:r w:rsidRPr="0092690C">
              <w:rPr>
                <w:color w:val="000000" w:themeColor="text1"/>
                <w:sz w:val="20"/>
                <w:szCs w:val="20"/>
              </w:rPr>
              <w:t>Quebec Law 25/CAI Guidance</w:t>
            </w:r>
          </w:p>
        </w:tc>
        <w:tc>
          <w:tcPr>
            <w:tcW w:w="171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FDCD4C2" w14:textId="056B21FC" w:rsidR="00EB5D7C" w:rsidRPr="0092690C" w:rsidRDefault="00EB5D7C" w:rsidP="00EB5D7C">
            <w:pPr>
              <w:widowControl w:val="0"/>
              <w:pBdr>
                <w:top w:val="nil"/>
                <w:left w:val="nil"/>
                <w:bottom w:val="nil"/>
                <w:right w:val="nil"/>
                <w:between w:val="nil"/>
              </w:pBdr>
              <w:jc w:val="center"/>
              <w:rPr>
                <w:color w:val="000000" w:themeColor="text1"/>
                <w:sz w:val="20"/>
                <w:szCs w:val="20"/>
              </w:rPr>
            </w:pPr>
            <w:r w:rsidRPr="0092690C">
              <w:rPr>
                <w:color w:val="000000" w:themeColor="text1"/>
                <w:sz w:val="20"/>
                <w:szCs w:val="20"/>
              </w:rPr>
              <w:t>B.3 Consent and Collection</w:t>
            </w:r>
          </w:p>
        </w:tc>
        <w:tc>
          <w:tcPr>
            <w:tcW w:w="5410"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2AEE420A" w14:textId="77777777" w:rsidR="00EB5D7C" w:rsidRPr="0092690C" w:rsidRDefault="00EB5D7C" w:rsidP="00EB5D7C">
            <w:pPr>
              <w:widowControl w:val="0"/>
              <w:spacing w:line="276" w:lineRule="auto"/>
              <w:rPr>
                <w:rFonts w:eastAsia="Arial" w:cs="Arial"/>
                <w:color w:val="000000" w:themeColor="text1"/>
                <w:sz w:val="20"/>
                <w:szCs w:val="20"/>
              </w:rPr>
            </w:pPr>
            <w:r w:rsidRPr="0092690C">
              <w:rPr>
                <w:rFonts w:eastAsia="Arial" w:cs="Arial"/>
                <w:color w:val="000000" w:themeColor="text1"/>
                <w:sz w:val="20"/>
                <w:szCs w:val="20"/>
              </w:rPr>
              <w:t xml:space="preserve">Comply with its </w:t>
            </w:r>
            <w:r w:rsidRPr="0092690C">
              <w:rPr>
                <w:rFonts w:eastAsia="Arial" w:cs="Arial"/>
                <w:b/>
                <w:color w:val="000000" w:themeColor="text1"/>
                <w:sz w:val="20"/>
                <w:szCs w:val="20"/>
              </w:rPr>
              <w:t xml:space="preserve">obligation of transparency </w:t>
            </w:r>
            <w:r w:rsidRPr="0092690C">
              <w:rPr>
                <w:rFonts w:eastAsia="Arial" w:cs="Arial"/>
                <w:color w:val="000000" w:themeColor="text1"/>
                <w:sz w:val="20"/>
                <w:szCs w:val="20"/>
              </w:rPr>
              <w:t>by providing accurate and complete information to the persons concerned when the collection is made from them4.</w:t>
            </w:r>
          </w:p>
          <w:p w14:paraId="35DB1315" w14:textId="77777777" w:rsidR="00EB5D7C" w:rsidRPr="0092690C" w:rsidRDefault="00EB5D7C" w:rsidP="00EB5D7C">
            <w:pPr>
              <w:widowControl w:val="0"/>
              <w:spacing w:line="276" w:lineRule="auto"/>
              <w:rPr>
                <w:color w:val="000000" w:themeColor="text1"/>
                <w:sz w:val="20"/>
                <w:szCs w:val="20"/>
              </w:rPr>
            </w:pPr>
          </w:p>
        </w:tc>
      </w:tr>
      <w:tr w:rsidR="00EB5D7C" w14:paraId="21D70C57" w14:textId="77777777" w:rsidTr="0092690C">
        <w:trPr>
          <w:jc w:val="center"/>
        </w:trPr>
        <w:tc>
          <w:tcPr>
            <w:tcW w:w="2240" w:type="dxa"/>
            <w:tcBorders>
              <w:top w:val="single" w:sz="8" w:space="0" w:color="000000"/>
              <w:right w:val="nil"/>
            </w:tcBorders>
            <w:shd w:val="clear" w:color="auto" w:fill="auto"/>
            <w:tcMar>
              <w:top w:w="100" w:type="dxa"/>
              <w:left w:w="100" w:type="dxa"/>
              <w:bottom w:w="100" w:type="dxa"/>
              <w:right w:w="100" w:type="dxa"/>
            </w:tcMar>
          </w:tcPr>
          <w:p w14:paraId="1D8E719F" w14:textId="57E1A8EE" w:rsidR="00EB5D7C" w:rsidRPr="0092690C" w:rsidRDefault="00EB5D7C" w:rsidP="00EB5D7C">
            <w:pPr>
              <w:widowControl w:val="0"/>
              <w:pBdr>
                <w:top w:val="nil"/>
                <w:left w:val="nil"/>
                <w:bottom w:val="nil"/>
                <w:right w:val="nil"/>
                <w:between w:val="nil"/>
              </w:pBdr>
              <w:rPr>
                <w:color w:val="000000" w:themeColor="text1"/>
                <w:sz w:val="20"/>
                <w:szCs w:val="20"/>
              </w:rPr>
            </w:pPr>
            <w:r w:rsidRPr="0092690C">
              <w:rPr>
                <w:color w:val="000000" w:themeColor="text1"/>
                <w:sz w:val="20"/>
                <w:szCs w:val="20"/>
              </w:rPr>
              <w:t>ISO/IEC 29100</w:t>
            </w:r>
          </w:p>
        </w:tc>
        <w:tc>
          <w:tcPr>
            <w:tcW w:w="1710" w:type="dxa"/>
            <w:tcBorders>
              <w:top w:val="single" w:sz="8" w:space="0" w:color="000000"/>
              <w:left w:val="nil"/>
              <w:right w:val="nil"/>
            </w:tcBorders>
            <w:shd w:val="clear" w:color="auto" w:fill="auto"/>
            <w:tcMar>
              <w:top w:w="100" w:type="dxa"/>
              <w:left w:w="100" w:type="dxa"/>
              <w:bottom w:w="100" w:type="dxa"/>
              <w:right w:w="100" w:type="dxa"/>
            </w:tcMar>
          </w:tcPr>
          <w:p w14:paraId="7CA9A2EC" w14:textId="5C0C2E27" w:rsidR="00EB5D7C" w:rsidRPr="0092690C" w:rsidRDefault="00EB5D7C" w:rsidP="00EB5D7C">
            <w:pPr>
              <w:widowControl w:val="0"/>
              <w:pBdr>
                <w:top w:val="nil"/>
                <w:left w:val="nil"/>
                <w:bottom w:val="nil"/>
                <w:right w:val="nil"/>
                <w:between w:val="nil"/>
              </w:pBdr>
              <w:jc w:val="center"/>
              <w:rPr>
                <w:color w:val="000000" w:themeColor="text1"/>
                <w:sz w:val="20"/>
                <w:szCs w:val="20"/>
              </w:rPr>
            </w:pPr>
            <w:r w:rsidRPr="0092690C">
              <w:rPr>
                <w:color w:val="000000" w:themeColor="text1"/>
                <w:sz w:val="20"/>
                <w:szCs w:val="20"/>
              </w:rPr>
              <w:t>5.6 pg.13</w:t>
            </w:r>
          </w:p>
        </w:tc>
        <w:tc>
          <w:tcPr>
            <w:tcW w:w="5410" w:type="dxa"/>
            <w:tcBorders>
              <w:top w:val="single" w:sz="8" w:space="0" w:color="000000"/>
              <w:left w:val="nil"/>
            </w:tcBorders>
            <w:shd w:val="clear" w:color="auto" w:fill="auto"/>
            <w:tcMar>
              <w:top w:w="100" w:type="dxa"/>
              <w:left w:w="100" w:type="dxa"/>
              <w:bottom w:w="100" w:type="dxa"/>
              <w:right w:w="100" w:type="dxa"/>
            </w:tcMar>
          </w:tcPr>
          <w:p w14:paraId="14062A48" w14:textId="77777777" w:rsidR="00EB5D7C" w:rsidRPr="0092690C" w:rsidRDefault="00EB5D7C" w:rsidP="00EB5D7C">
            <w:pPr>
              <w:widowControl w:val="0"/>
              <w:spacing w:line="276" w:lineRule="auto"/>
              <w:rPr>
                <w:color w:val="000000" w:themeColor="text1"/>
                <w:sz w:val="20"/>
                <w:szCs w:val="20"/>
              </w:rPr>
            </w:pPr>
            <w:r w:rsidRPr="0092690C">
              <w:rPr>
                <w:color w:val="000000" w:themeColor="text1"/>
                <w:sz w:val="20"/>
                <w:szCs w:val="20"/>
              </w:rPr>
              <w:t>An external privacy policy provides outsiders to the organization with a notice of the organization’s privacy practices, as well as other relevant information such as the identity and official address of the PII</w:t>
            </w:r>
          </w:p>
          <w:p w14:paraId="12DC207D" w14:textId="4B90C6AD" w:rsidR="00EB5D7C" w:rsidRPr="0092690C" w:rsidRDefault="00EB5D7C" w:rsidP="00EB5D7C">
            <w:pPr>
              <w:widowControl w:val="0"/>
              <w:spacing w:line="276" w:lineRule="auto"/>
              <w:rPr>
                <w:rFonts w:eastAsia="Arial" w:cs="Arial"/>
                <w:color w:val="000000" w:themeColor="text1"/>
                <w:sz w:val="20"/>
                <w:szCs w:val="20"/>
              </w:rPr>
            </w:pPr>
            <w:r w:rsidRPr="0092690C">
              <w:rPr>
                <w:color w:val="000000" w:themeColor="text1"/>
                <w:sz w:val="20"/>
                <w:szCs w:val="20"/>
              </w:rPr>
              <w:t xml:space="preserve">controller, contact points from which PII principals can obtain additional information, etc. In the context of this framework, the term “privacy policy” is used to refer to the internal privacy policy of an organization. External privacy policies are referred to as </w:t>
            </w:r>
            <w:r w:rsidRPr="0092690C">
              <w:rPr>
                <w:b/>
                <w:color w:val="000000" w:themeColor="text1"/>
                <w:sz w:val="20"/>
                <w:szCs w:val="20"/>
              </w:rPr>
              <w:t>notices</w:t>
            </w:r>
            <w:r w:rsidRPr="0092690C">
              <w:rPr>
                <w:color w:val="000000" w:themeColor="text1"/>
                <w:sz w:val="20"/>
                <w:szCs w:val="20"/>
              </w:rPr>
              <w:t>.</w:t>
            </w:r>
          </w:p>
        </w:tc>
      </w:tr>
    </w:tbl>
    <w:p w14:paraId="00E809C5" w14:textId="2345F1B7" w:rsidR="000E0465" w:rsidRDefault="000E0465" w:rsidP="000E0465">
      <w:pPr>
        <w:pStyle w:val="Heading3"/>
      </w:pPr>
      <w:r>
        <w:lastRenderedPageBreak/>
        <w:t>6.2.</w:t>
      </w:r>
      <w:r w:rsidR="00F829B9">
        <w:t>3</w:t>
      </w:r>
      <w:r>
        <w:t xml:space="preserve"> PII Controller Record Conformance</w:t>
      </w:r>
    </w:p>
    <w:p w14:paraId="247F10C7" w14:textId="773D537F" w:rsidR="000B6362" w:rsidRDefault="000B6362" w:rsidP="000E0465">
      <w:r>
        <w:t xml:space="preserve">The following </w:t>
      </w:r>
      <w:r w:rsidR="000E0465">
        <w:t xml:space="preserve">PII Controller ‘identity’ requirements captured in </w:t>
      </w:r>
      <w:r>
        <w:t xml:space="preserve">the PII </w:t>
      </w:r>
      <w:r w:rsidR="000E0465">
        <w:t xml:space="preserve">Controller </w:t>
      </w:r>
      <w:r>
        <w:t>i</w:t>
      </w:r>
      <w:r w:rsidR="000E0465">
        <w:t>dentification</w:t>
      </w:r>
      <w:r w:rsidR="00EA184A">
        <w:t xml:space="preserve"> process</w:t>
      </w:r>
      <w:r w:rsidR="00CA1AAD">
        <w:t xml:space="preserve"> and related record</w:t>
      </w:r>
      <w:r w:rsidR="000E0465">
        <w:t xml:space="preserve">, </w:t>
      </w:r>
      <w:r>
        <w:t>is a</w:t>
      </w:r>
      <w:r w:rsidR="000E0465">
        <w:t xml:space="preserve">n explicit security presentation, </w:t>
      </w:r>
      <w:r>
        <w:t>and/</w:t>
      </w:r>
      <w:r w:rsidR="000E0465">
        <w:t>or a privacy notice statement</w:t>
      </w:r>
      <w:r>
        <w:t xml:space="preserve"> and</w:t>
      </w:r>
      <w:r w:rsidR="000E0465">
        <w:t xml:space="preserve"> can </w:t>
      </w:r>
      <w:r>
        <w:t xml:space="preserve">be </w:t>
      </w:r>
      <w:r w:rsidR="000E0465">
        <w:t>use</w:t>
      </w:r>
      <w:r>
        <w:t>d in the</w:t>
      </w:r>
      <w:r w:rsidR="000E0465">
        <w:t xml:space="preserve"> ISO/IEC 29184:2020, or 27560:2024</w:t>
      </w:r>
      <w:r>
        <w:t>,</w:t>
      </w:r>
      <w:r w:rsidR="000E0465">
        <w:t xml:space="preserve"> or the Kantara Consent Receipt v1.1 Controller identity and consent record and format</w:t>
      </w:r>
      <w:r w:rsidR="009D437D">
        <w:t>:</w:t>
      </w:r>
      <w:r w:rsidR="000E0465">
        <w:t xml:space="preserve"> </w:t>
      </w:r>
    </w:p>
    <w:p w14:paraId="068B8D1A" w14:textId="77777777" w:rsidR="000E0465" w:rsidRDefault="000E0465" w:rsidP="000E0465">
      <w:pPr>
        <w:numPr>
          <w:ilvl w:val="0"/>
          <w:numId w:val="12"/>
        </w:numPr>
      </w:pPr>
      <w:r>
        <w:t>Legal Entity Address</w:t>
      </w:r>
    </w:p>
    <w:p w14:paraId="32B0DB97" w14:textId="77777777" w:rsidR="000E0465" w:rsidRDefault="000E0465" w:rsidP="000E0465">
      <w:pPr>
        <w:numPr>
          <w:ilvl w:val="0"/>
          <w:numId w:val="12"/>
        </w:numPr>
      </w:pPr>
      <w:r>
        <w:t>Legal jurisdiction(s) Controller Privacy Access point and Contact when applicable</w:t>
      </w:r>
    </w:p>
    <w:p w14:paraId="45E4EBB9" w14:textId="5D0CC527" w:rsidR="000E0465" w:rsidRDefault="000E0465" w:rsidP="000E0465">
      <w:pPr>
        <w:numPr>
          <w:ilvl w:val="0"/>
          <w:numId w:val="12"/>
        </w:numPr>
      </w:pPr>
      <w:r>
        <w:t xml:space="preserve">The means for </w:t>
      </w:r>
      <w:r w:rsidR="00F829B9">
        <w:t>accessing privacy</w:t>
      </w:r>
      <w:r>
        <w:t xml:space="preserve"> and transparency </w:t>
      </w:r>
    </w:p>
    <w:p w14:paraId="6499BA3C" w14:textId="556040A8" w:rsidR="000E0465" w:rsidRDefault="000E0465" w:rsidP="0092690C">
      <w:pPr>
        <w:numPr>
          <w:ilvl w:val="0"/>
          <w:numId w:val="12"/>
        </w:numPr>
      </w:pPr>
      <w:r>
        <w:t>Privacy policy or access point</w:t>
      </w:r>
    </w:p>
    <w:p w14:paraId="3E58B6E1" w14:textId="71493B20" w:rsidR="000B6362" w:rsidRDefault="000B6362" w:rsidP="009D437D">
      <w:pPr>
        <w:pStyle w:val="NOTEParagraph"/>
      </w:pPr>
      <w:r>
        <w:t xml:space="preserve">Note: Record, attributes, and format have been widely implemented in </w:t>
      </w:r>
      <w:r w:rsidR="009D437D">
        <w:t xml:space="preserve">the </w:t>
      </w:r>
      <w:r>
        <w:t>industry, to include Legal Entity (or natural person) Name and/or trading name.</w:t>
      </w:r>
    </w:p>
    <w:p w14:paraId="492327B8" w14:textId="77777777" w:rsidR="000E0465" w:rsidRDefault="000E0465" w:rsidP="000E0465">
      <w:pPr>
        <w:pStyle w:val="Heading2"/>
      </w:pPr>
      <w:bookmarkStart w:id="29" w:name="_Toc193376361"/>
      <w:r>
        <w:t>6.3 TPI 3 – Security and Privacy Access</w:t>
      </w:r>
      <w:bookmarkEnd w:id="29"/>
    </w:p>
    <w:p w14:paraId="6118589A" w14:textId="6305EAD3" w:rsidR="00F91B18" w:rsidRPr="009D437D" w:rsidRDefault="000E0465" w:rsidP="009D437D">
      <w:pPr>
        <w:pBdr>
          <w:top w:val="nil"/>
          <w:left w:val="nil"/>
          <w:bottom w:val="nil"/>
          <w:right w:val="nil"/>
          <w:between w:val="nil"/>
        </w:pBdr>
        <w:rPr>
          <w:highlight w:val="yellow"/>
        </w:rPr>
      </w:pPr>
      <w:r w:rsidRPr="000E0465">
        <w:rPr>
          <w:rFonts w:eastAsia="Times New Roman" w:cs="Arial"/>
          <w:color w:val="000000"/>
          <w:szCs w:val="22"/>
        </w:rPr>
        <w:t>This TPI measures the acc</w:t>
      </w:r>
      <w:r w:rsidRPr="000E0465">
        <w:rPr>
          <w:rFonts w:cs="Arial"/>
          <w:szCs w:val="22"/>
        </w:rPr>
        <w:t xml:space="preserve">essibility of the </w:t>
      </w:r>
      <w:r w:rsidRPr="000E0465">
        <w:rPr>
          <w:rFonts w:eastAsia="Times New Roman" w:cs="Arial"/>
          <w:color w:val="000000"/>
          <w:szCs w:val="22"/>
        </w:rPr>
        <w:t>Controller identi</w:t>
      </w:r>
      <w:r w:rsidRPr="000E0465">
        <w:rPr>
          <w:rFonts w:cs="Arial"/>
          <w:szCs w:val="22"/>
        </w:rPr>
        <w:t>fication</w:t>
      </w:r>
      <w:r w:rsidRPr="000E0465">
        <w:rPr>
          <w:rFonts w:eastAsia="Times New Roman" w:cs="Arial"/>
          <w:color w:val="000000"/>
          <w:szCs w:val="22"/>
        </w:rPr>
        <w:t xml:space="preserve"> </w:t>
      </w:r>
      <w:r w:rsidRPr="000E0465">
        <w:rPr>
          <w:rFonts w:cs="Arial"/>
          <w:szCs w:val="22"/>
        </w:rPr>
        <w:t>presentation and means for accessing</w:t>
      </w:r>
      <w:r w:rsidRPr="000E0465">
        <w:rPr>
          <w:rFonts w:eastAsia="Times New Roman" w:cs="Arial"/>
          <w:color w:val="000000"/>
          <w:szCs w:val="22"/>
        </w:rPr>
        <w:t xml:space="preserve"> rights.</w:t>
      </w:r>
      <w:r w:rsidR="00EB5D7C">
        <w:rPr>
          <w:rFonts w:eastAsia="Times New Roman" w:cs="Arial"/>
          <w:color w:val="000000"/>
          <w:szCs w:val="22"/>
        </w:rPr>
        <w:t xml:space="preserve"> </w:t>
      </w:r>
      <w:r w:rsidR="00F91B18" w:rsidRPr="000B3B3E">
        <w:rPr>
          <w:rFonts w:eastAsia="Times New Roman" w:cs="Arial"/>
          <w:color w:val="000000"/>
          <w:szCs w:val="22"/>
        </w:rPr>
        <w:t xml:space="preserve">Tables </w:t>
      </w:r>
      <w:r w:rsidR="00F91B18">
        <w:rPr>
          <w:rFonts w:eastAsia="Times New Roman" w:cs="Arial"/>
          <w:color w:val="000000"/>
          <w:szCs w:val="22"/>
        </w:rPr>
        <w:t>7, 8</w:t>
      </w:r>
      <w:r w:rsidR="00F91B18" w:rsidRPr="000B3B3E">
        <w:rPr>
          <w:rFonts w:eastAsia="Times New Roman" w:cs="Arial"/>
          <w:color w:val="000000"/>
          <w:szCs w:val="22"/>
        </w:rPr>
        <w:t xml:space="preserve">, and </w:t>
      </w:r>
      <w:r w:rsidR="00F91B18">
        <w:rPr>
          <w:rFonts w:eastAsia="Times New Roman" w:cs="Arial"/>
          <w:color w:val="000000"/>
          <w:szCs w:val="22"/>
        </w:rPr>
        <w:t>9</w:t>
      </w:r>
      <w:r w:rsidR="00F91B18" w:rsidRPr="000B3B3E">
        <w:rPr>
          <w:rFonts w:eastAsia="Times New Roman" w:cs="Arial"/>
          <w:color w:val="000000"/>
          <w:szCs w:val="22"/>
        </w:rPr>
        <w:t xml:space="preserve"> below provide details on the information captured and how it is measured as well as the legal requirements and standards where this TPI shows compliance and adequacy.</w:t>
      </w:r>
    </w:p>
    <w:p w14:paraId="53B7595E" w14:textId="3F94F604" w:rsidR="00142FCB" w:rsidRPr="00142FCB" w:rsidRDefault="00142FCB" w:rsidP="009D437D">
      <w:pPr>
        <w:pStyle w:val="Caption"/>
      </w:pPr>
      <w:bookmarkStart w:id="30" w:name="_Toc193376374"/>
      <w:r w:rsidRPr="00142FCB">
        <w:t xml:space="preserve">Table </w:t>
      </w:r>
      <w:fldSimple w:instr=" SEQ Table \* ARABIC ">
        <w:r>
          <w:rPr>
            <w:noProof/>
          </w:rPr>
          <w:t>7</w:t>
        </w:r>
      </w:fldSimple>
      <w:r w:rsidRPr="00142FCB">
        <w:t>. TPI 3 Measurement and Description</w:t>
      </w:r>
      <w:bookmarkEnd w:id="30"/>
    </w:p>
    <w:tbl>
      <w:tblPr>
        <w:tblW w:w="9360" w:type="dxa"/>
        <w:jc w:val="center"/>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0"/>
        <w:gridCol w:w="4410"/>
        <w:gridCol w:w="1630"/>
      </w:tblGrid>
      <w:tr w:rsidR="000E0465" w14:paraId="7790CA46" w14:textId="77777777" w:rsidTr="0092690C">
        <w:trPr>
          <w:jc w:val="center"/>
        </w:trPr>
        <w:tc>
          <w:tcPr>
            <w:tcW w:w="3320" w:type="dxa"/>
            <w:tcBorders>
              <w:top w:val="single" w:sz="8" w:space="0" w:color="000000"/>
              <w:right w:val="nil"/>
            </w:tcBorders>
            <w:shd w:val="clear" w:color="auto" w:fill="auto"/>
            <w:tcMar>
              <w:top w:w="100" w:type="dxa"/>
              <w:left w:w="100" w:type="dxa"/>
              <w:bottom w:w="100" w:type="dxa"/>
              <w:right w:w="100" w:type="dxa"/>
            </w:tcMar>
          </w:tcPr>
          <w:p w14:paraId="0E5159C1" w14:textId="77777777" w:rsidR="000E0465" w:rsidRPr="0092690C" w:rsidRDefault="000E0465" w:rsidP="0092690C">
            <w:pPr>
              <w:widowControl w:val="0"/>
              <w:rPr>
                <w:bCs/>
                <w:sz w:val="20"/>
                <w:szCs w:val="20"/>
              </w:rPr>
            </w:pPr>
            <w:r w:rsidRPr="0092690C">
              <w:rPr>
                <w:bCs/>
                <w:sz w:val="20"/>
                <w:szCs w:val="20"/>
              </w:rPr>
              <w:t>TPI 3 - Access Measure</w:t>
            </w:r>
          </w:p>
        </w:tc>
        <w:tc>
          <w:tcPr>
            <w:tcW w:w="4410" w:type="dxa"/>
            <w:tcBorders>
              <w:top w:val="single" w:sz="8" w:space="0" w:color="000000"/>
              <w:left w:val="nil"/>
              <w:right w:val="nil"/>
            </w:tcBorders>
            <w:shd w:val="clear" w:color="auto" w:fill="auto"/>
            <w:tcMar>
              <w:top w:w="100" w:type="dxa"/>
              <w:left w:w="100" w:type="dxa"/>
              <w:bottom w:w="100" w:type="dxa"/>
              <w:right w:w="100" w:type="dxa"/>
            </w:tcMar>
          </w:tcPr>
          <w:p w14:paraId="61ECF76F" w14:textId="77777777" w:rsidR="000E0465" w:rsidRPr="0092690C" w:rsidRDefault="000E0465" w:rsidP="0092690C">
            <w:pPr>
              <w:widowControl w:val="0"/>
              <w:rPr>
                <w:bCs/>
                <w:sz w:val="20"/>
                <w:szCs w:val="20"/>
              </w:rPr>
            </w:pPr>
            <w:r w:rsidRPr="0092690C">
              <w:rPr>
                <w:bCs/>
                <w:sz w:val="20"/>
                <w:szCs w:val="20"/>
              </w:rPr>
              <w:t>Description</w:t>
            </w:r>
          </w:p>
        </w:tc>
        <w:tc>
          <w:tcPr>
            <w:tcW w:w="1630" w:type="dxa"/>
            <w:tcBorders>
              <w:top w:val="single" w:sz="8" w:space="0" w:color="000000"/>
              <w:left w:val="nil"/>
            </w:tcBorders>
            <w:shd w:val="clear" w:color="auto" w:fill="auto"/>
            <w:tcMar>
              <w:top w:w="100" w:type="dxa"/>
              <w:left w:w="100" w:type="dxa"/>
              <w:bottom w:w="100" w:type="dxa"/>
              <w:right w:w="100" w:type="dxa"/>
            </w:tcMar>
          </w:tcPr>
          <w:p w14:paraId="5ADD519D" w14:textId="77777777" w:rsidR="000E0465" w:rsidRPr="0092690C" w:rsidRDefault="000E0465" w:rsidP="0092690C">
            <w:pPr>
              <w:widowControl w:val="0"/>
              <w:jc w:val="center"/>
              <w:rPr>
                <w:bCs/>
                <w:sz w:val="20"/>
                <w:szCs w:val="20"/>
              </w:rPr>
            </w:pPr>
            <w:r w:rsidRPr="0092690C">
              <w:rPr>
                <w:bCs/>
                <w:sz w:val="20"/>
                <w:szCs w:val="20"/>
              </w:rPr>
              <w:t>Measure</w:t>
            </w:r>
          </w:p>
        </w:tc>
      </w:tr>
      <w:tr w:rsidR="000E0465" w14:paraId="6E3920DC" w14:textId="77777777" w:rsidTr="0092690C">
        <w:trPr>
          <w:jc w:val="center"/>
        </w:trPr>
        <w:tc>
          <w:tcPr>
            <w:tcW w:w="3320" w:type="dxa"/>
            <w:tcBorders>
              <w:top w:val="single" w:sz="8" w:space="0" w:color="000000"/>
              <w:right w:val="nil"/>
            </w:tcBorders>
            <w:shd w:val="clear" w:color="auto" w:fill="auto"/>
            <w:tcMar>
              <w:top w:w="100" w:type="dxa"/>
              <w:left w:w="100" w:type="dxa"/>
              <w:bottom w:w="100" w:type="dxa"/>
              <w:right w:w="100" w:type="dxa"/>
            </w:tcMar>
          </w:tcPr>
          <w:p w14:paraId="08ACE242" w14:textId="77777777" w:rsidR="000E0465" w:rsidRPr="0092690C" w:rsidRDefault="000E0465" w:rsidP="0092690C">
            <w:pPr>
              <w:rPr>
                <w:bCs/>
                <w:sz w:val="20"/>
                <w:szCs w:val="20"/>
              </w:rPr>
            </w:pPr>
            <w:r w:rsidRPr="0092690C">
              <w:rPr>
                <w:bCs/>
                <w:sz w:val="20"/>
                <w:szCs w:val="20"/>
              </w:rPr>
              <w:t>Access point presented with Controller identification presentation</w:t>
            </w:r>
            <w:r w:rsidRPr="0092690C">
              <w:rPr>
                <w:bCs/>
                <w:sz w:val="20"/>
                <w:szCs w:val="20"/>
                <w:vertAlign w:val="superscript"/>
              </w:rPr>
              <w:footnoteReference w:id="2"/>
            </w:r>
          </w:p>
        </w:tc>
        <w:tc>
          <w:tcPr>
            <w:tcW w:w="4410" w:type="dxa"/>
            <w:tcBorders>
              <w:top w:val="single" w:sz="8" w:space="0" w:color="000000"/>
              <w:left w:val="nil"/>
              <w:right w:val="nil"/>
            </w:tcBorders>
            <w:shd w:val="clear" w:color="auto" w:fill="auto"/>
            <w:tcMar>
              <w:top w:w="100" w:type="dxa"/>
              <w:left w:w="100" w:type="dxa"/>
              <w:bottom w:w="100" w:type="dxa"/>
              <w:right w:w="100" w:type="dxa"/>
            </w:tcMar>
          </w:tcPr>
          <w:p w14:paraId="6B70B6FF" w14:textId="6AEEDF16" w:rsidR="000E0465" w:rsidRPr="0092690C" w:rsidRDefault="000E0465" w:rsidP="0092690C">
            <w:pPr>
              <w:widowControl w:val="0"/>
              <w:rPr>
                <w:bCs/>
                <w:sz w:val="20"/>
                <w:szCs w:val="20"/>
              </w:rPr>
            </w:pPr>
            <w:r w:rsidRPr="0092690C">
              <w:rPr>
                <w:bCs/>
                <w:sz w:val="20"/>
                <w:szCs w:val="20"/>
              </w:rPr>
              <w:t xml:space="preserve">The security and privacy access point, is dynamically accessible and provided with Controller identification, including, </w:t>
            </w:r>
            <w:r w:rsidR="0092690C" w:rsidRPr="0092690C">
              <w:rPr>
                <w:bCs/>
                <w:sz w:val="20"/>
                <w:szCs w:val="20"/>
              </w:rPr>
              <w:t>d</w:t>
            </w:r>
            <w:r w:rsidRPr="0092690C">
              <w:rPr>
                <w:bCs/>
                <w:sz w:val="20"/>
                <w:szCs w:val="20"/>
              </w:rPr>
              <w:t xml:space="preserve">ata privacy officer contact  </w:t>
            </w:r>
          </w:p>
        </w:tc>
        <w:tc>
          <w:tcPr>
            <w:tcW w:w="1630" w:type="dxa"/>
            <w:tcBorders>
              <w:top w:val="single" w:sz="8" w:space="0" w:color="000000"/>
              <w:left w:val="nil"/>
            </w:tcBorders>
            <w:shd w:val="clear" w:color="auto" w:fill="auto"/>
            <w:tcMar>
              <w:top w:w="100" w:type="dxa"/>
              <w:left w:w="100" w:type="dxa"/>
              <w:bottom w:w="100" w:type="dxa"/>
              <w:right w:w="100" w:type="dxa"/>
            </w:tcMar>
          </w:tcPr>
          <w:p w14:paraId="5E29373E" w14:textId="77777777" w:rsidR="000E0465" w:rsidRPr="0092690C" w:rsidRDefault="000E0465" w:rsidP="0092690C">
            <w:pPr>
              <w:widowControl w:val="0"/>
              <w:jc w:val="center"/>
              <w:rPr>
                <w:bCs/>
                <w:sz w:val="20"/>
                <w:szCs w:val="20"/>
              </w:rPr>
            </w:pPr>
            <w:r w:rsidRPr="0092690C">
              <w:rPr>
                <w:bCs/>
                <w:sz w:val="20"/>
                <w:szCs w:val="20"/>
              </w:rPr>
              <w:t>+1</w:t>
            </w:r>
          </w:p>
        </w:tc>
      </w:tr>
      <w:tr w:rsidR="000E0465" w14:paraId="6F462800" w14:textId="77777777" w:rsidTr="0092690C">
        <w:trPr>
          <w:jc w:val="center"/>
        </w:trPr>
        <w:tc>
          <w:tcPr>
            <w:tcW w:w="3320" w:type="dxa"/>
            <w:tcBorders>
              <w:top w:val="single" w:sz="8" w:space="0" w:color="000000"/>
              <w:right w:val="nil"/>
            </w:tcBorders>
            <w:shd w:val="clear" w:color="auto" w:fill="auto"/>
            <w:tcMar>
              <w:top w:w="100" w:type="dxa"/>
              <w:left w:w="100" w:type="dxa"/>
              <w:bottom w:w="100" w:type="dxa"/>
              <w:right w:w="100" w:type="dxa"/>
            </w:tcMar>
          </w:tcPr>
          <w:p w14:paraId="20AE81DF" w14:textId="02FA8BC3" w:rsidR="000E0465" w:rsidRPr="0092690C" w:rsidRDefault="000E0465" w:rsidP="0092690C">
            <w:pPr>
              <w:rPr>
                <w:bCs/>
                <w:sz w:val="20"/>
                <w:szCs w:val="20"/>
              </w:rPr>
            </w:pPr>
            <w:r w:rsidRPr="0092690C">
              <w:rPr>
                <w:bCs/>
                <w:sz w:val="20"/>
                <w:szCs w:val="20"/>
              </w:rPr>
              <w:t>Access Point (scrolling page)</w:t>
            </w:r>
          </w:p>
        </w:tc>
        <w:tc>
          <w:tcPr>
            <w:tcW w:w="4410" w:type="dxa"/>
            <w:tcBorders>
              <w:top w:val="single" w:sz="8" w:space="0" w:color="000000"/>
              <w:left w:val="nil"/>
              <w:right w:val="nil"/>
            </w:tcBorders>
            <w:shd w:val="clear" w:color="auto" w:fill="auto"/>
            <w:tcMar>
              <w:top w:w="100" w:type="dxa"/>
              <w:left w:w="100" w:type="dxa"/>
              <w:bottom w:w="100" w:type="dxa"/>
              <w:right w:w="100" w:type="dxa"/>
            </w:tcMar>
          </w:tcPr>
          <w:p w14:paraId="61B91BB4" w14:textId="77777777" w:rsidR="000E0465" w:rsidRPr="0092690C" w:rsidRDefault="000E0465" w:rsidP="0092690C">
            <w:pPr>
              <w:widowControl w:val="0"/>
              <w:rPr>
                <w:bCs/>
                <w:sz w:val="20"/>
                <w:szCs w:val="20"/>
              </w:rPr>
            </w:pPr>
            <w:r w:rsidRPr="0092690C">
              <w:rPr>
                <w:bCs/>
                <w:sz w:val="20"/>
                <w:szCs w:val="20"/>
              </w:rPr>
              <w:t>The security and privacy access point, is operational and easily accessed (out of context)</w:t>
            </w:r>
          </w:p>
        </w:tc>
        <w:tc>
          <w:tcPr>
            <w:tcW w:w="1630" w:type="dxa"/>
            <w:tcBorders>
              <w:top w:val="single" w:sz="8" w:space="0" w:color="000000"/>
              <w:left w:val="nil"/>
            </w:tcBorders>
            <w:shd w:val="clear" w:color="auto" w:fill="auto"/>
            <w:tcMar>
              <w:top w:w="100" w:type="dxa"/>
              <w:left w:w="100" w:type="dxa"/>
              <w:bottom w:w="100" w:type="dxa"/>
              <w:right w:w="100" w:type="dxa"/>
            </w:tcMar>
          </w:tcPr>
          <w:p w14:paraId="1568C47A" w14:textId="77777777" w:rsidR="000E0465" w:rsidRPr="0092690C" w:rsidRDefault="000E0465" w:rsidP="0092690C">
            <w:pPr>
              <w:widowControl w:val="0"/>
              <w:jc w:val="center"/>
              <w:rPr>
                <w:bCs/>
                <w:sz w:val="20"/>
                <w:szCs w:val="20"/>
              </w:rPr>
            </w:pPr>
            <w:r w:rsidRPr="0092690C">
              <w:rPr>
                <w:bCs/>
                <w:sz w:val="20"/>
                <w:szCs w:val="20"/>
              </w:rPr>
              <w:t>0</w:t>
            </w:r>
          </w:p>
        </w:tc>
      </w:tr>
    </w:tbl>
    <w:p w14:paraId="2D76363D" w14:textId="452CEFE2" w:rsidR="00EB5D7C" w:rsidRDefault="00EB5D7C" w:rsidP="00EB5D7C">
      <w:pPr>
        <w:rPr>
          <w:i/>
          <w:iCs/>
          <w:color w:val="2C3E50"/>
          <w:sz w:val="18"/>
          <w:szCs w:val="18"/>
        </w:rPr>
      </w:pPr>
      <w:r>
        <w:rPr>
          <w:i/>
          <w:iCs/>
          <w:color w:val="2C3E50"/>
          <w:sz w:val="18"/>
          <w:szCs w:val="18"/>
        </w:rPr>
        <w:tab/>
      </w:r>
      <w:r>
        <w:rPr>
          <w:i/>
          <w:iCs/>
          <w:color w:val="2C3E50"/>
          <w:sz w:val="18"/>
          <w:szCs w:val="18"/>
        </w:rPr>
        <w:tab/>
      </w:r>
      <w:r>
        <w:rPr>
          <w:i/>
          <w:iCs/>
          <w:color w:val="2C3E50"/>
          <w:sz w:val="18"/>
          <w:szCs w:val="18"/>
        </w:rPr>
        <w:tab/>
      </w:r>
      <w:r>
        <w:rPr>
          <w:i/>
          <w:iCs/>
          <w:color w:val="2C3E50"/>
          <w:sz w:val="18"/>
          <w:szCs w:val="18"/>
        </w:rPr>
        <w:tab/>
      </w:r>
      <w:r>
        <w:rPr>
          <w:i/>
          <w:iCs/>
          <w:color w:val="2C3E50"/>
          <w:sz w:val="18"/>
          <w:szCs w:val="18"/>
        </w:rPr>
        <w:tab/>
      </w:r>
      <w:r>
        <w:rPr>
          <w:i/>
          <w:iCs/>
          <w:color w:val="2C3E50"/>
          <w:sz w:val="18"/>
          <w:szCs w:val="18"/>
        </w:rPr>
        <w:tab/>
      </w:r>
      <w:r>
        <w:rPr>
          <w:i/>
          <w:iCs/>
          <w:color w:val="2C3E50"/>
          <w:sz w:val="18"/>
          <w:szCs w:val="18"/>
        </w:rPr>
        <w:tab/>
      </w:r>
      <w:r>
        <w:rPr>
          <w:i/>
          <w:iCs/>
          <w:color w:val="2C3E50"/>
          <w:sz w:val="18"/>
          <w:szCs w:val="18"/>
        </w:rPr>
        <w:tab/>
      </w:r>
      <w:r>
        <w:rPr>
          <w:i/>
          <w:iCs/>
          <w:color w:val="2C3E50"/>
          <w:sz w:val="18"/>
          <w:szCs w:val="18"/>
        </w:rPr>
        <w:tab/>
      </w:r>
      <w:r w:rsidRPr="00A74499">
        <w:rPr>
          <w:i/>
          <w:iCs/>
          <w:sz w:val="18"/>
          <w:szCs w:val="18"/>
        </w:rPr>
        <w:t>(table</w:t>
      </w:r>
      <w:r>
        <w:rPr>
          <w:i/>
          <w:iCs/>
          <w:sz w:val="18"/>
          <w:szCs w:val="18"/>
        </w:rPr>
        <w:t xml:space="preserve"> 7</w:t>
      </w:r>
      <w:r w:rsidRPr="00A74499">
        <w:rPr>
          <w:i/>
          <w:iCs/>
          <w:sz w:val="18"/>
          <w:szCs w:val="18"/>
        </w:rPr>
        <w:t xml:space="preserve"> continued on next page)</w:t>
      </w:r>
    </w:p>
    <w:p w14:paraId="5CDBEF25" w14:textId="5D52EFCF" w:rsidR="00EB5D7C" w:rsidRPr="00EB5D7C" w:rsidRDefault="00EB5D7C" w:rsidP="00EB5D7C">
      <w:pPr>
        <w:rPr>
          <w:i/>
          <w:iCs/>
          <w:color w:val="2C3E50"/>
          <w:sz w:val="18"/>
          <w:szCs w:val="18"/>
        </w:rPr>
      </w:pPr>
      <w:r w:rsidRPr="00EB5D7C">
        <w:rPr>
          <w:i/>
          <w:iCs/>
          <w:color w:val="2C3E50"/>
          <w:sz w:val="18"/>
          <w:szCs w:val="18"/>
        </w:rPr>
        <w:lastRenderedPageBreak/>
        <w:t>Table 7. TPI 3 Measurement and Description</w:t>
      </w:r>
      <w:r>
        <w:rPr>
          <w:i/>
          <w:iCs/>
          <w:color w:val="2C3E50"/>
          <w:sz w:val="18"/>
          <w:szCs w:val="18"/>
        </w:rPr>
        <w:t xml:space="preserve"> cont.</w:t>
      </w:r>
    </w:p>
    <w:tbl>
      <w:tblPr>
        <w:tblW w:w="9360" w:type="dxa"/>
        <w:jc w:val="center"/>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0"/>
        <w:gridCol w:w="4410"/>
        <w:gridCol w:w="1630"/>
      </w:tblGrid>
      <w:tr w:rsidR="00EB5D7C" w14:paraId="3C6444E2" w14:textId="77777777" w:rsidTr="00075967">
        <w:trPr>
          <w:jc w:val="center"/>
        </w:trPr>
        <w:tc>
          <w:tcPr>
            <w:tcW w:w="3320" w:type="dxa"/>
            <w:tcBorders>
              <w:top w:val="single" w:sz="8" w:space="0" w:color="000000"/>
              <w:right w:val="nil"/>
            </w:tcBorders>
            <w:shd w:val="clear" w:color="auto" w:fill="auto"/>
            <w:tcMar>
              <w:top w:w="100" w:type="dxa"/>
              <w:left w:w="100" w:type="dxa"/>
              <w:bottom w:w="100" w:type="dxa"/>
              <w:right w:w="100" w:type="dxa"/>
            </w:tcMar>
          </w:tcPr>
          <w:p w14:paraId="51F41661" w14:textId="77777777" w:rsidR="00EB5D7C" w:rsidRPr="0092690C" w:rsidRDefault="00EB5D7C" w:rsidP="00075967">
            <w:pPr>
              <w:widowControl w:val="0"/>
              <w:rPr>
                <w:bCs/>
                <w:sz w:val="20"/>
                <w:szCs w:val="20"/>
              </w:rPr>
            </w:pPr>
            <w:r w:rsidRPr="0092690C">
              <w:rPr>
                <w:bCs/>
                <w:sz w:val="20"/>
                <w:szCs w:val="20"/>
              </w:rPr>
              <w:t>TPI 3 - Access Measure</w:t>
            </w:r>
          </w:p>
        </w:tc>
        <w:tc>
          <w:tcPr>
            <w:tcW w:w="4410" w:type="dxa"/>
            <w:tcBorders>
              <w:top w:val="single" w:sz="8" w:space="0" w:color="000000"/>
              <w:left w:val="nil"/>
              <w:right w:val="nil"/>
            </w:tcBorders>
            <w:shd w:val="clear" w:color="auto" w:fill="auto"/>
            <w:tcMar>
              <w:top w:w="100" w:type="dxa"/>
              <w:left w:w="100" w:type="dxa"/>
              <w:bottom w:w="100" w:type="dxa"/>
              <w:right w:w="100" w:type="dxa"/>
            </w:tcMar>
          </w:tcPr>
          <w:p w14:paraId="1C0B6DE4" w14:textId="77777777" w:rsidR="00EB5D7C" w:rsidRPr="0092690C" w:rsidRDefault="00EB5D7C" w:rsidP="00075967">
            <w:pPr>
              <w:widowControl w:val="0"/>
              <w:rPr>
                <w:bCs/>
                <w:sz w:val="20"/>
                <w:szCs w:val="20"/>
              </w:rPr>
            </w:pPr>
            <w:r w:rsidRPr="0092690C">
              <w:rPr>
                <w:bCs/>
                <w:sz w:val="20"/>
                <w:szCs w:val="20"/>
              </w:rPr>
              <w:t>Description</w:t>
            </w:r>
          </w:p>
        </w:tc>
        <w:tc>
          <w:tcPr>
            <w:tcW w:w="1630" w:type="dxa"/>
            <w:tcBorders>
              <w:top w:val="single" w:sz="8" w:space="0" w:color="000000"/>
              <w:left w:val="nil"/>
            </w:tcBorders>
            <w:shd w:val="clear" w:color="auto" w:fill="auto"/>
            <w:tcMar>
              <w:top w:w="100" w:type="dxa"/>
              <w:left w:w="100" w:type="dxa"/>
              <w:bottom w:w="100" w:type="dxa"/>
              <w:right w:w="100" w:type="dxa"/>
            </w:tcMar>
          </w:tcPr>
          <w:p w14:paraId="7D8397D2" w14:textId="77777777" w:rsidR="00EB5D7C" w:rsidRPr="0092690C" w:rsidRDefault="00EB5D7C" w:rsidP="00075967">
            <w:pPr>
              <w:widowControl w:val="0"/>
              <w:jc w:val="center"/>
              <w:rPr>
                <w:bCs/>
                <w:sz w:val="20"/>
                <w:szCs w:val="20"/>
              </w:rPr>
            </w:pPr>
            <w:r w:rsidRPr="0092690C">
              <w:rPr>
                <w:bCs/>
                <w:sz w:val="20"/>
                <w:szCs w:val="20"/>
              </w:rPr>
              <w:t>Measure</w:t>
            </w:r>
          </w:p>
        </w:tc>
      </w:tr>
      <w:tr w:rsidR="00EB5D7C" w14:paraId="7FD35562" w14:textId="77777777" w:rsidTr="00075967">
        <w:trPr>
          <w:jc w:val="center"/>
        </w:trPr>
        <w:tc>
          <w:tcPr>
            <w:tcW w:w="3320" w:type="dxa"/>
            <w:tcBorders>
              <w:top w:val="single" w:sz="8" w:space="0" w:color="000000"/>
              <w:right w:val="nil"/>
            </w:tcBorders>
            <w:shd w:val="clear" w:color="auto" w:fill="auto"/>
            <w:tcMar>
              <w:top w:w="100" w:type="dxa"/>
              <w:left w:w="100" w:type="dxa"/>
              <w:bottom w:w="100" w:type="dxa"/>
              <w:right w:w="100" w:type="dxa"/>
            </w:tcMar>
          </w:tcPr>
          <w:p w14:paraId="2F2B287F" w14:textId="77777777" w:rsidR="00EB5D7C" w:rsidRPr="0092690C" w:rsidRDefault="00EB5D7C" w:rsidP="00075967">
            <w:pPr>
              <w:rPr>
                <w:bCs/>
                <w:sz w:val="20"/>
                <w:szCs w:val="20"/>
              </w:rPr>
            </w:pPr>
            <w:r w:rsidRPr="0092690C">
              <w:rPr>
                <w:bCs/>
                <w:sz w:val="20"/>
                <w:szCs w:val="20"/>
              </w:rPr>
              <w:t>Access point analogue or buried (two links)</w:t>
            </w:r>
          </w:p>
        </w:tc>
        <w:tc>
          <w:tcPr>
            <w:tcW w:w="4410" w:type="dxa"/>
            <w:tcBorders>
              <w:top w:val="single" w:sz="8" w:space="0" w:color="000000"/>
              <w:left w:val="nil"/>
              <w:right w:val="nil"/>
            </w:tcBorders>
            <w:shd w:val="clear" w:color="auto" w:fill="auto"/>
            <w:tcMar>
              <w:top w:w="100" w:type="dxa"/>
              <w:left w:w="100" w:type="dxa"/>
              <w:bottom w:w="100" w:type="dxa"/>
              <w:right w:w="100" w:type="dxa"/>
            </w:tcMar>
          </w:tcPr>
          <w:p w14:paraId="25BD5752" w14:textId="77777777" w:rsidR="00EB5D7C" w:rsidRPr="0092690C" w:rsidRDefault="00EB5D7C" w:rsidP="00075967">
            <w:pPr>
              <w:widowControl w:val="0"/>
              <w:rPr>
                <w:bCs/>
                <w:sz w:val="20"/>
                <w:szCs w:val="20"/>
              </w:rPr>
            </w:pPr>
            <w:r w:rsidRPr="0092690C">
              <w:rPr>
                <w:bCs/>
                <w:sz w:val="20"/>
                <w:szCs w:val="20"/>
              </w:rPr>
              <w:t>Data privacy access point is not easily accessed, is not operational</w:t>
            </w:r>
          </w:p>
        </w:tc>
        <w:tc>
          <w:tcPr>
            <w:tcW w:w="1630" w:type="dxa"/>
            <w:tcBorders>
              <w:top w:val="single" w:sz="8" w:space="0" w:color="000000"/>
              <w:left w:val="nil"/>
            </w:tcBorders>
            <w:shd w:val="clear" w:color="auto" w:fill="auto"/>
            <w:tcMar>
              <w:top w:w="100" w:type="dxa"/>
              <w:left w:w="100" w:type="dxa"/>
              <w:bottom w:w="100" w:type="dxa"/>
              <w:right w:w="100" w:type="dxa"/>
            </w:tcMar>
          </w:tcPr>
          <w:p w14:paraId="6BCBADB1" w14:textId="77777777" w:rsidR="00EB5D7C" w:rsidRPr="0092690C" w:rsidRDefault="00EB5D7C" w:rsidP="00075967">
            <w:pPr>
              <w:widowControl w:val="0"/>
              <w:jc w:val="center"/>
              <w:rPr>
                <w:bCs/>
                <w:sz w:val="20"/>
                <w:szCs w:val="20"/>
              </w:rPr>
            </w:pPr>
            <w:r w:rsidRPr="0092690C">
              <w:rPr>
                <w:bCs/>
                <w:sz w:val="20"/>
                <w:szCs w:val="20"/>
              </w:rPr>
              <w:t>-1</w:t>
            </w:r>
          </w:p>
        </w:tc>
      </w:tr>
    </w:tbl>
    <w:p w14:paraId="468396C4" w14:textId="1ED0CB1A" w:rsidR="000E0465" w:rsidRDefault="000E0465" w:rsidP="000E0465">
      <w:pPr>
        <w:pStyle w:val="Heading3"/>
      </w:pPr>
      <w:r>
        <w:t>6.3.1 Analysis of Access</w:t>
      </w:r>
    </w:p>
    <w:p w14:paraId="128D284E" w14:textId="77777777" w:rsidR="000E0465" w:rsidRDefault="000E0465" w:rsidP="000E0465">
      <w:r>
        <w:t xml:space="preserve">This indicator also takes into account the additional Controller information and </w:t>
      </w:r>
    </w:p>
    <w:p w14:paraId="2B8C716D" w14:textId="35E909ED" w:rsidR="009D437D" w:rsidRDefault="000E0465" w:rsidP="00EB5D7C">
      <w:r>
        <w:t xml:space="preserve"> data collected for the TPI and includes device and user</w:t>
      </w:r>
      <w:r w:rsidR="009D437D">
        <w:t xml:space="preserve"> </w:t>
      </w:r>
      <w:r>
        <w:t xml:space="preserve">interaction, accessibility, language of presentation, </w:t>
      </w:r>
      <w:r w:rsidR="009D437D">
        <w:t xml:space="preserve">and </w:t>
      </w:r>
      <w:r>
        <w:t xml:space="preserve">the number of “screens” that must be traversed to access and use privacy information to exercise the PII Principals rights. </w:t>
      </w:r>
    </w:p>
    <w:p w14:paraId="534866E5" w14:textId="1FED8F98" w:rsidR="00142FCB" w:rsidRPr="00142FCB" w:rsidRDefault="00142FCB" w:rsidP="009D437D">
      <w:pPr>
        <w:pStyle w:val="Caption"/>
      </w:pPr>
      <w:bookmarkStart w:id="31" w:name="_Toc193376375"/>
      <w:r w:rsidRPr="00142FCB">
        <w:t xml:space="preserve">Table </w:t>
      </w:r>
      <w:fldSimple w:instr=" SEQ Table \* ARABIC ">
        <w:r>
          <w:rPr>
            <w:noProof/>
          </w:rPr>
          <w:t>8</w:t>
        </w:r>
      </w:fldSimple>
      <w:r w:rsidRPr="00142FCB">
        <w:t xml:space="preserve">. </w:t>
      </w:r>
      <w:r w:rsidRPr="009D437D">
        <w:t>TPI</w:t>
      </w:r>
      <w:r w:rsidRPr="00142FCB">
        <w:t xml:space="preserve"> 3 Analysis</w:t>
      </w:r>
      <w:r w:rsidR="00C76EFA">
        <w:t xml:space="preserve"> of Access</w:t>
      </w:r>
      <w:bookmarkEnd w:id="31"/>
    </w:p>
    <w:tbl>
      <w:tblPr>
        <w:tblW w:w="9360" w:type="dxa"/>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4350"/>
        <w:gridCol w:w="1890"/>
      </w:tblGrid>
      <w:tr w:rsidR="000E0465" w14:paraId="3224B818" w14:textId="77777777" w:rsidTr="0092690C">
        <w:tc>
          <w:tcPr>
            <w:tcW w:w="3120" w:type="dxa"/>
            <w:tcBorders>
              <w:top w:val="single" w:sz="8" w:space="0" w:color="000000"/>
              <w:right w:val="nil"/>
            </w:tcBorders>
            <w:shd w:val="clear" w:color="auto" w:fill="auto"/>
            <w:tcMar>
              <w:top w:w="100" w:type="dxa"/>
              <w:left w:w="100" w:type="dxa"/>
              <w:bottom w:w="100" w:type="dxa"/>
              <w:right w:w="100" w:type="dxa"/>
            </w:tcMar>
          </w:tcPr>
          <w:p w14:paraId="1B95C857" w14:textId="77777777" w:rsidR="000E0465" w:rsidRPr="0092690C" w:rsidRDefault="000E0465" w:rsidP="0092690C">
            <w:pPr>
              <w:widowControl w:val="0"/>
              <w:rPr>
                <w:bCs/>
                <w:sz w:val="20"/>
                <w:szCs w:val="20"/>
              </w:rPr>
            </w:pPr>
            <w:r w:rsidRPr="0092690C">
              <w:rPr>
                <w:bCs/>
                <w:sz w:val="20"/>
                <w:szCs w:val="20"/>
              </w:rPr>
              <w:t>Accessibility of Access</w:t>
            </w:r>
          </w:p>
        </w:tc>
        <w:tc>
          <w:tcPr>
            <w:tcW w:w="4350" w:type="dxa"/>
            <w:tcBorders>
              <w:top w:val="single" w:sz="8" w:space="0" w:color="000000"/>
              <w:left w:val="nil"/>
              <w:right w:val="nil"/>
            </w:tcBorders>
            <w:shd w:val="clear" w:color="auto" w:fill="auto"/>
            <w:tcMar>
              <w:top w:w="100" w:type="dxa"/>
              <w:left w:w="100" w:type="dxa"/>
              <w:bottom w:w="100" w:type="dxa"/>
              <w:right w:w="100" w:type="dxa"/>
            </w:tcMar>
          </w:tcPr>
          <w:p w14:paraId="5C337A82" w14:textId="77777777" w:rsidR="000E0465" w:rsidRPr="0092690C" w:rsidRDefault="000E0465" w:rsidP="0092690C">
            <w:pPr>
              <w:widowControl w:val="0"/>
              <w:rPr>
                <w:bCs/>
                <w:sz w:val="20"/>
                <w:szCs w:val="20"/>
              </w:rPr>
            </w:pPr>
            <w:r w:rsidRPr="0092690C">
              <w:rPr>
                <w:bCs/>
                <w:sz w:val="20"/>
                <w:szCs w:val="20"/>
              </w:rPr>
              <w:t>Description</w:t>
            </w:r>
          </w:p>
        </w:tc>
        <w:tc>
          <w:tcPr>
            <w:tcW w:w="1890" w:type="dxa"/>
            <w:tcBorders>
              <w:top w:val="single" w:sz="8" w:space="0" w:color="000000"/>
              <w:left w:val="nil"/>
            </w:tcBorders>
            <w:shd w:val="clear" w:color="auto" w:fill="auto"/>
            <w:tcMar>
              <w:top w:w="100" w:type="dxa"/>
              <w:left w:w="100" w:type="dxa"/>
              <w:bottom w:w="100" w:type="dxa"/>
              <w:right w:w="100" w:type="dxa"/>
            </w:tcMar>
          </w:tcPr>
          <w:p w14:paraId="3DEFC350" w14:textId="6F887FD2" w:rsidR="000E0465" w:rsidRPr="0092690C" w:rsidRDefault="00CA1AAD" w:rsidP="0092690C">
            <w:pPr>
              <w:widowControl w:val="0"/>
              <w:jc w:val="center"/>
              <w:rPr>
                <w:bCs/>
                <w:sz w:val="20"/>
                <w:szCs w:val="20"/>
              </w:rPr>
            </w:pPr>
            <w:r>
              <w:rPr>
                <w:bCs/>
                <w:sz w:val="20"/>
                <w:szCs w:val="20"/>
              </w:rPr>
              <w:t>Measure</w:t>
            </w:r>
          </w:p>
        </w:tc>
      </w:tr>
      <w:tr w:rsidR="000E0465" w14:paraId="3010A379" w14:textId="77777777" w:rsidTr="0092690C">
        <w:tc>
          <w:tcPr>
            <w:tcW w:w="3120" w:type="dxa"/>
            <w:tcBorders>
              <w:top w:val="single" w:sz="8" w:space="0" w:color="000000"/>
              <w:right w:val="nil"/>
            </w:tcBorders>
            <w:shd w:val="clear" w:color="auto" w:fill="auto"/>
            <w:tcMar>
              <w:top w:w="100" w:type="dxa"/>
              <w:left w:w="100" w:type="dxa"/>
              <w:bottom w:w="100" w:type="dxa"/>
              <w:right w:w="100" w:type="dxa"/>
            </w:tcMar>
          </w:tcPr>
          <w:p w14:paraId="45B73700" w14:textId="77777777" w:rsidR="000E0465" w:rsidRPr="0092690C" w:rsidRDefault="000E0465" w:rsidP="0092690C">
            <w:pPr>
              <w:widowControl w:val="0"/>
              <w:rPr>
                <w:sz w:val="20"/>
                <w:szCs w:val="20"/>
              </w:rPr>
            </w:pPr>
            <w:r w:rsidRPr="0092690C">
              <w:rPr>
                <w:sz w:val="20"/>
                <w:szCs w:val="20"/>
              </w:rPr>
              <w:t>Dynamically accessible and meaningful, within the context.</w:t>
            </w:r>
          </w:p>
        </w:tc>
        <w:tc>
          <w:tcPr>
            <w:tcW w:w="4350" w:type="dxa"/>
            <w:tcBorders>
              <w:top w:val="single" w:sz="8" w:space="0" w:color="000000"/>
              <w:left w:val="nil"/>
              <w:right w:val="nil"/>
            </w:tcBorders>
            <w:shd w:val="clear" w:color="auto" w:fill="auto"/>
            <w:tcMar>
              <w:top w:w="100" w:type="dxa"/>
              <w:left w:w="100" w:type="dxa"/>
              <w:bottom w:w="100" w:type="dxa"/>
              <w:right w:w="100" w:type="dxa"/>
            </w:tcMar>
          </w:tcPr>
          <w:p w14:paraId="20C5E361" w14:textId="77777777" w:rsidR="000E0465" w:rsidRPr="0092690C" w:rsidRDefault="000E0465" w:rsidP="0092690C">
            <w:pPr>
              <w:widowControl w:val="0"/>
              <w:rPr>
                <w:sz w:val="20"/>
                <w:szCs w:val="20"/>
              </w:rPr>
            </w:pPr>
            <w:r w:rsidRPr="0092690C">
              <w:rPr>
                <w:sz w:val="20"/>
                <w:szCs w:val="20"/>
              </w:rPr>
              <w:t>Dynamic access to security and privacy can occur when for example the PII Principal can control and has access to their PII. The Controller identification is presented prior to data processing, and when access to privacy rights has a meaningful result.</w:t>
            </w:r>
          </w:p>
        </w:tc>
        <w:tc>
          <w:tcPr>
            <w:tcW w:w="1890" w:type="dxa"/>
            <w:tcBorders>
              <w:top w:val="single" w:sz="8" w:space="0" w:color="000000"/>
              <w:left w:val="nil"/>
            </w:tcBorders>
            <w:shd w:val="clear" w:color="auto" w:fill="auto"/>
            <w:tcMar>
              <w:top w:w="100" w:type="dxa"/>
              <w:left w:w="100" w:type="dxa"/>
              <w:bottom w:w="100" w:type="dxa"/>
              <w:right w:w="100" w:type="dxa"/>
            </w:tcMar>
          </w:tcPr>
          <w:p w14:paraId="62B0B4B0" w14:textId="77777777" w:rsidR="000E0465" w:rsidRPr="0092690C" w:rsidRDefault="000E0465" w:rsidP="0092690C">
            <w:pPr>
              <w:widowControl w:val="0"/>
              <w:jc w:val="center"/>
              <w:rPr>
                <w:sz w:val="20"/>
                <w:szCs w:val="20"/>
              </w:rPr>
            </w:pPr>
            <w:r w:rsidRPr="0092690C">
              <w:rPr>
                <w:sz w:val="20"/>
                <w:szCs w:val="20"/>
              </w:rPr>
              <w:t>+1</w:t>
            </w:r>
          </w:p>
        </w:tc>
      </w:tr>
      <w:tr w:rsidR="000E0465" w14:paraId="49801F35" w14:textId="77777777" w:rsidTr="0092690C">
        <w:tc>
          <w:tcPr>
            <w:tcW w:w="3120" w:type="dxa"/>
            <w:tcBorders>
              <w:top w:val="single" w:sz="8" w:space="0" w:color="000000"/>
              <w:right w:val="nil"/>
            </w:tcBorders>
            <w:shd w:val="clear" w:color="auto" w:fill="auto"/>
            <w:tcMar>
              <w:top w:w="100" w:type="dxa"/>
              <w:left w:w="100" w:type="dxa"/>
              <w:bottom w:w="100" w:type="dxa"/>
              <w:right w:w="100" w:type="dxa"/>
            </w:tcMar>
          </w:tcPr>
          <w:p w14:paraId="095C2324" w14:textId="536A7C7F" w:rsidR="000E0465" w:rsidRPr="0092690C" w:rsidRDefault="000E0465" w:rsidP="0092690C">
            <w:pPr>
              <w:widowControl w:val="0"/>
              <w:rPr>
                <w:sz w:val="20"/>
                <w:szCs w:val="20"/>
              </w:rPr>
            </w:pPr>
            <w:r w:rsidRPr="0092690C">
              <w:rPr>
                <w:sz w:val="20"/>
                <w:szCs w:val="20"/>
              </w:rPr>
              <w:t xml:space="preserve">Operationally accessible, but not accessible in </w:t>
            </w:r>
            <w:r w:rsidR="00F91B18" w:rsidRPr="0092690C">
              <w:rPr>
                <w:sz w:val="20"/>
                <w:szCs w:val="20"/>
              </w:rPr>
              <w:t>context, requires analog interactions.</w:t>
            </w:r>
          </w:p>
        </w:tc>
        <w:tc>
          <w:tcPr>
            <w:tcW w:w="4350" w:type="dxa"/>
            <w:tcBorders>
              <w:top w:val="single" w:sz="8" w:space="0" w:color="000000"/>
              <w:left w:val="nil"/>
              <w:right w:val="nil"/>
            </w:tcBorders>
            <w:shd w:val="clear" w:color="auto" w:fill="auto"/>
            <w:tcMar>
              <w:top w:w="100" w:type="dxa"/>
              <w:left w:w="100" w:type="dxa"/>
              <w:bottom w:w="100" w:type="dxa"/>
              <w:right w:w="100" w:type="dxa"/>
            </w:tcMar>
          </w:tcPr>
          <w:p w14:paraId="2EBCC8D0" w14:textId="321019F6" w:rsidR="000E0465" w:rsidRPr="0092690C" w:rsidRDefault="000E0465" w:rsidP="0092690C">
            <w:pPr>
              <w:widowControl w:val="0"/>
              <w:rPr>
                <w:sz w:val="20"/>
                <w:szCs w:val="20"/>
              </w:rPr>
            </w:pPr>
            <w:r w:rsidRPr="0092690C">
              <w:rPr>
                <w:sz w:val="20"/>
                <w:szCs w:val="20"/>
              </w:rPr>
              <w:t xml:space="preserve">Operational privacy access </w:t>
            </w:r>
            <w:r w:rsidR="00F91B18" w:rsidRPr="0092690C">
              <w:rPr>
                <w:sz w:val="20"/>
                <w:szCs w:val="20"/>
              </w:rPr>
              <w:t>information</w:t>
            </w:r>
            <w:r w:rsidRPr="0092690C">
              <w:rPr>
                <w:sz w:val="20"/>
                <w:szCs w:val="20"/>
              </w:rPr>
              <w:t xml:space="preserve"> can come in the form of contact information, that can be used in </w:t>
            </w:r>
            <w:r w:rsidR="00F91B18" w:rsidRPr="0092690C">
              <w:rPr>
                <w:sz w:val="20"/>
                <w:szCs w:val="20"/>
              </w:rPr>
              <w:t xml:space="preserve">the </w:t>
            </w:r>
            <w:r w:rsidRPr="0092690C">
              <w:rPr>
                <w:sz w:val="20"/>
                <w:szCs w:val="20"/>
              </w:rPr>
              <w:t xml:space="preserve">context of </w:t>
            </w:r>
            <w:r w:rsidR="00F91B18" w:rsidRPr="0092690C">
              <w:rPr>
                <w:sz w:val="20"/>
                <w:szCs w:val="20"/>
              </w:rPr>
              <w:t>the digital</w:t>
            </w:r>
            <w:r w:rsidRPr="0092690C">
              <w:rPr>
                <w:sz w:val="20"/>
                <w:szCs w:val="20"/>
              </w:rPr>
              <w:t xml:space="preserve"> service but requires additional actions outside of the current user workflow.</w:t>
            </w:r>
          </w:p>
        </w:tc>
        <w:tc>
          <w:tcPr>
            <w:tcW w:w="1890" w:type="dxa"/>
            <w:tcBorders>
              <w:top w:val="single" w:sz="8" w:space="0" w:color="000000"/>
              <w:left w:val="nil"/>
            </w:tcBorders>
            <w:shd w:val="clear" w:color="auto" w:fill="auto"/>
            <w:tcMar>
              <w:top w:w="100" w:type="dxa"/>
              <w:left w:w="100" w:type="dxa"/>
              <w:bottom w:w="100" w:type="dxa"/>
              <w:right w:w="100" w:type="dxa"/>
            </w:tcMar>
          </w:tcPr>
          <w:p w14:paraId="1B7097E6" w14:textId="77777777" w:rsidR="000E0465" w:rsidRPr="0092690C" w:rsidRDefault="000E0465" w:rsidP="0092690C">
            <w:pPr>
              <w:widowControl w:val="0"/>
              <w:jc w:val="center"/>
              <w:rPr>
                <w:sz w:val="20"/>
                <w:szCs w:val="20"/>
              </w:rPr>
            </w:pPr>
            <w:r w:rsidRPr="0092690C">
              <w:rPr>
                <w:sz w:val="20"/>
                <w:szCs w:val="20"/>
              </w:rPr>
              <w:t>0</w:t>
            </w:r>
          </w:p>
        </w:tc>
      </w:tr>
      <w:tr w:rsidR="000E0465" w14:paraId="5C611F36" w14:textId="77777777" w:rsidTr="0092690C">
        <w:tc>
          <w:tcPr>
            <w:tcW w:w="3120" w:type="dxa"/>
            <w:tcBorders>
              <w:top w:val="single" w:sz="8" w:space="0" w:color="000000"/>
              <w:right w:val="nil"/>
            </w:tcBorders>
            <w:shd w:val="clear" w:color="auto" w:fill="auto"/>
            <w:tcMar>
              <w:top w:w="100" w:type="dxa"/>
              <w:left w:w="100" w:type="dxa"/>
              <w:bottom w:w="100" w:type="dxa"/>
              <w:right w:w="100" w:type="dxa"/>
            </w:tcMar>
          </w:tcPr>
          <w:p w14:paraId="533A0720" w14:textId="74CC979B" w:rsidR="000E0465" w:rsidRPr="0092690C" w:rsidRDefault="00F91B18" w:rsidP="0092690C">
            <w:pPr>
              <w:widowControl w:val="0"/>
              <w:rPr>
                <w:sz w:val="20"/>
                <w:szCs w:val="20"/>
              </w:rPr>
            </w:pPr>
            <w:r w:rsidRPr="0092690C">
              <w:rPr>
                <w:sz w:val="20"/>
                <w:szCs w:val="20"/>
              </w:rPr>
              <w:t>Inoperable</w:t>
            </w:r>
            <w:r w:rsidR="000E0465" w:rsidRPr="0092690C">
              <w:rPr>
                <w:sz w:val="20"/>
                <w:szCs w:val="20"/>
              </w:rPr>
              <w:t xml:space="preserve"> or accessible and not </w:t>
            </w:r>
            <w:r w:rsidRPr="0092690C">
              <w:rPr>
                <w:sz w:val="20"/>
                <w:szCs w:val="20"/>
              </w:rPr>
              <w:t>meaningful.</w:t>
            </w:r>
          </w:p>
        </w:tc>
        <w:tc>
          <w:tcPr>
            <w:tcW w:w="4350" w:type="dxa"/>
            <w:tcBorders>
              <w:top w:val="single" w:sz="8" w:space="0" w:color="000000"/>
              <w:left w:val="nil"/>
              <w:right w:val="nil"/>
            </w:tcBorders>
            <w:shd w:val="clear" w:color="auto" w:fill="auto"/>
            <w:tcMar>
              <w:top w:w="100" w:type="dxa"/>
              <w:left w:w="100" w:type="dxa"/>
              <w:bottom w:w="100" w:type="dxa"/>
              <w:right w:w="100" w:type="dxa"/>
            </w:tcMar>
          </w:tcPr>
          <w:p w14:paraId="74302C6A" w14:textId="77777777" w:rsidR="000E0465" w:rsidRPr="0092690C" w:rsidRDefault="000E0465" w:rsidP="0092690C">
            <w:pPr>
              <w:widowControl w:val="0"/>
              <w:rPr>
                <w:sz w:val="20"/>
                <w:szCs w:val="20"/>
              </w:rPr>
            </w:pPr>
            <w:r w:rsidRPr="0092690C">
              <w:rPr>
                <w:sz w:val="20"/>
                <w:szCs w:val="20"/>
              </w:rPr>
              <w:t>Non-operable, refers to privacy access that is analogue, and out of context for example a mailing address, or when privacy access is not immediately accessible at the time of processing PII.</w:t>
            </w:r>
          </w:p>
        </w:tc>
        <w:tc>
          <w:tcPr>
            <w:tcW w:w="1890" w:type="dxa"/>
            <w:tcBorders>
              <w:top w:val="single" w:sz="8" w:space="0" w:color="000000"/>
              <w:left w:val="nil"/>
            </w:tcBorders>
            <w:shd w:val="clear" w:color="auto" w:fill="auto"/>
            <w:tcMar>
              <w:top w:w="100" w:type="dxa"/>
              <w:left w:w="100" w:type="dxa"/>
              <w:bottom w:w="100" w:type="dxa"/>
              <w:right w:w="100" w:type="dxa"/>
            </w:tcMar>
          </w:tcPr>
          <w:p w14:paraId="7724DDE2" w14:textId="77777777" w:rsidR="000E0465" w:rsidRPr="0092690C" w:rsidRDefault="000E0465" w:rsidP="0092690C">
            <w:pPr>
              <w:widowControl w:val="0"/>
              <w:jc w:val="center"/>
              <w:rPr>
                <w:sz w:val="20"/>
                <w:szCs w:val="20"/>
              </w:rPr>
            </w:pPr>
            <w:r w:rsidRPr="0092690C">
              <w:rPr>
                <w:sz w:val="20"/>
                <w:szCs w:val="20"/>
              </w:rPr>
              <w:t>-1</w:t>
            </w:r>
          </w:p>
        </w:tc>
      </w:tr>
    </w:tbl>
    <w:p w14:paraId="3174472F" w14:textId="77777777" w:rsidR="000E0465" w:rsidRDefault="000E0465" w:rsidP="000E0465"/>
    <w:p w14:paraId="24F5B8D6" w14:textId="7567ED9C" w:rsidR="000E0465" w:rsidRPr="00EB5D7C" w:rsidRDefault="009D437D" w:rsidP="00EB5D7C">
      <w:pPr>
        <w:pStyle w:val="Heading3"/>
      </w:pPr>
      <w:r>
        <w:br w:type="page"/>
      </w:r>
      <w:r w:rsidR="000E0465">
        <w:lastRenderedPageBreak/>
        <w:t>6.3.2 Legal References for Accessibility of security and privacy rights access</w:t>
      </w:r>
    </w:p>
    <w:p w14:paraId="0D5174A8" w14:textId="4C4354F1" w:rsidR="00142FCB" w:rsidRPr="00142FCB" w:rsidRDefault="00142FCB" w:rsidP="009D437D">
      <w:pPr>
        <w:pStyle w:val="Caption"/>
      </w:pPr>
      <w:bookmarkStart w:id="32" w:name="_Toc193376376"/>
      <w:r w:rsidRPr="00142FCB">
        <w:t xml:space="preserve">Table </w:t>
      </w:r>
      <w:fldSimple w:instr=" SEQ Table \* ARABIC ">
        <w:r>
          <w:rPr>
            <w:noProof/>
          </w:rPr>
          <w:t>9</w:t>
        </w:r>
      </w:fldSimple>
      <w:r w:rsidRPr="00142FCB">
        <w:t xml:space="preserve">. TPI 3 Legal </w:t>
      </w:r>
      <w:r w:rsidRPr="009D437D">
        <w:t>and</w:t>
      </w:r>
      <w:r w:rsidRPr="00142FCB">
        <w:t xml:space="preserve"> Standards References</w:t>
      </w:r>
      <w:bookmarkEnd w:id="32"/>
    </w:p>
    <w:tbl>
      <w:tblPr>
        <w:tblW w:w="9360" w:type="dxa"/>
        <w:jc w:val="center"/>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2160"/>
        <w:gridCol w:w="5410"/>
      </w:tblGrid>
      <w:tr w:rsidR="000E0465" w14:paraId="325522BC" w14:textId="77777777" w:rsidTr="0092690C">
        <w:trPr>
          <w:trHeight w:val="470"/>
          <w:jc w:val="center"/>
        </w:trPr>
        <w:tc>
          <w:tcPr>
            <w:tcW w:w="1790" w:type="dxa"/>
            <w:tcBorders>
              <w:top w:val="single" w:sz="8" w:space="0" w:color="000000"/>
              <w:right w:val="nil"/>
            </w:tcBorders>
            <w:shd w:val="clear" w:color="auto" w:fill="auto"/>
            <w:tcMar>
              <w:top w:w="100" w:type="dxa"/>
              <w:left w:w="100" w:type="dxa"/>
              <w:bottom w:w="100" w:type="dxa"/>
              <w:right w:w="100" w:type="dxa"/>
            </w:tcMar>
          </w:tcPr>
          <w:p w14:paraId="01D18BC7" w14:textId="77777777" w:rsidR="000E0465" w:rsidRPr="0092690C" w:rsidRDefault="000E0465" w:rsidP="0092690C">
            <w:pPr>
              <w:widowControl w:val="0"/>
              <w:rPr>
                <w:bCs/>
                <w:color w:val="000000" w:themeColor="text1"/>
                <w:sz w:val="20"/>
                <w:szCs w:val="20"/>
              </w:rPr>
            </w:pPr>
            <w:r w:rsidRPr="0092690C">
              <w:rPr>
                <w:bCs/>
                <w:color w:val="000000" w:themeColor="text1"/>
                <w:sz w:val="20"/>
                <w:szCs w:val="20"/>
              </w:rPr>
              <w:t xml:space="preserve">Instrument </w:t>
            </w:r>
          </w:p>
        </w:tc>
        <w:tc>
          <w:tcPr>
            <w:tcW w:w="2160" w:type="dxa"/>
            <w:tcBorders>
              <w:top w:val="single" w:sz="8" w:space="0" w:color="000000"/>
              <w:left w:val="nil"/>
              <w:right w:val="nil"/>
            </w:tcBorders>
            <w:shd w:val="clear" w:color="auto" w:fill="auto"/>
            <w:tcMar>
              <w:top w:w="100" w:type="dxa"/>
              <w:left w:w="100" w:type="dxa"/>
              <w:bottom w:w="100" w:type="dxa"/>
              <w:right w:w="100" w:type="dxa"/>
            </w:tcMar>
          </w:tcPr>
          <w:p w14:paraId="5EEBF4E2" w14:textId="77777777" w:rsidR="000E0465" w:rsidRPr="0092690C" w:rsidRDefault="000E0465" w:rsidP="0092690C">
            <w:pPr>
              <w:widowControl w:val="0"/>
              <w:rPr>
                <w:bCs/>
                <w:color w:val="000000" w:themeColor="text1"/>
                <w:sz w:val="20"/>
                <w:szCs w:val="20"/>
              </w:rPr>
            </w:pPr>
            <w:r w:rsidRPr="0092690C">
              <w:rPr>
                <w:bCs/>
                <w:color w:val="000000" w:themeColor="text1"/>
                <w:sz w:val="20"/>
                <w:szCs w:val="20"/>
              </w:rPr>
              <w:t>Reference</w:t>
            </w:r>
          </w:p>
        </w:tc>
        <w:tc>
          <w:tcPr>
            <w:tcW w:w="5410" w:type="dxa"/>
            <w:tcBorders>
              <w:top w:val="single" w:sz="8" w:space="0" w:color="000000"/>
              <w:left w:val="nil"/>
            </w:tcBorders>
            <w:shd w:val="clear" w:color="auto" w:fill="auto"/>
            <w:tcMar>
              <w:top w:w="100" w:type="dxa"/>
              <w:left w:w="100" w:type="dxa"/>
              <w:bottom w:w="100" w:type="dxa"/>
              <w:right w:w="100" w:type="dxa"/>
            </w:tcMar>
          </w:tcPr>
          <w:p w14:paraId="1D1E66A9" w14:textId="77777777" w:rsidR="000E0465" w:rsidRPr="0092690C" w:rsidRDefault="000E0465" w:rsidP="0092690C">
            <w:pPr>
              <w:widowControl w:val="0"/>
              <w:rPr>
                <w:bCs/>
                <w:color w:val="000000" w:themeColor="text1"/>
                <w:sz w:val="20"/>
                <w:szCs w:val="20"/>
              </w:rPr>
            </w:pPr>
            <w:r w:rsidRPr="0092690C">
              <w:rPr>
                <w:bCs/>
                <w:color w:val="000000" w:themeColor="text1"/>
                <w:sz w:val="20"/>
                <w:szCs w:val="20"/>
              </w:rPr>
              <w:t>Text</w:t>
            </w:r>
          </w:p>
        </w:tc>
      </w:tr>
      <w:tr w:rsidR="000E0465" w14:paraId="11EC6526" w14:textId="77777777" w:rsidTr="0092690C">
        <w:trPr>
          <w:trHeight w:val="3405"/>
          <w:jc w:val="center"/>
        </w:trPr>
        <w:tc>
          <w:tcPr>
            <w:tcW w:w="1790" w:type="dxa"/>
            <w:tcBorders>
              <w:top w:val="single" w:sz="8" w:space="0" w:color="000000"/>
              <w:right w:val="nil"/>
            </w:tcBorders>
            <w:shd w:val="clear" w:color="auto" w:fill="auto"/>
            <w:tcMar>
              <w:top w:w="100" w:type="dxa"/>
              <w:left w:w="100" w:type="dxa"/>
              <w:bottom w:w="100" w:type="dxa"/>
              <w:right w:w="100" w:type="dxa"/>
            </w:tcMar>
          </w:tcPr>
          <w:p w14:paraId="072248C3" w14:textId="77777777" w:rsidR="000E0465" w:rsidRPr="0092690C" w:rsidRDefault="000E0465" w:rsidP="0092690C">
            <w:pPr>
              <w:widowControl w:val="0"/>
              <w:rPr>
                <w:color w:val="000000" w:themeColor="text1"/>
                <w:sz w:val="20"/>
                <w:szCs w:val="20"/>
              </w:rPr>
            </w:pPr>
            <w:r w:rsidRPr="0092690C">
              <w:rPr>
                <w:color w:val="000000" w:themeColor="text1"/>
                <w:sz w:val="20"/>
                <w:szCs w:val="20"/>
              </w:rPr>
              <w:t xml:space="preserve">CoE Convention 108 + </w:t>
            </w:r>
          </w:p>
        </w:tc>
        <w:tc>
          <w:tcPr>
            <w:tcW w:w="2160" w:type="dxa"/>
            <w:tcBorders>
              <w:top w:val="single" w:sz="8" w:space="0" w:color="000000"/>
              <w:left w:val="nil"/>
              <w:right w:val="nil"/>
            </w:tcBorders>
            <w:shd w:val="clear" w:color="auto" w:fill="auto"/>
            <w:tcMar>
              <w:top w:w="100" w:type="dxa"/>
              <w:left w:w="100" w:type="dxa"/>
              <w:bottom w:w="100" w:type="dxa"/>
              <w:right w:w="100" w:type="dxa"/>
            </w:tcMar>
          </w:tcPr>
          <w:p w14:paraId="494E18BC" w14:textId="77777777" w:rsidR="000E0465" w:rsidRPr="0092690C" w:rsidRDefault="000E0465" w:rsidP="0092690C">
            <w:pPr>
              <w:widowControl w:val="0"/>
              <w:rPr>
                <w:color w:val="000000" w:themeColor="text1"/>
                <w:sz w:val="20"/>
                <w:szCs w:val="20"/>
              </w:rPr>
            </w:pPr>
          </w:p>
        </w:tc>
        <w:tc>
          <w:tcPr>
            <w:tcW w:w="5410" w:type="dxa"/>
            <w:tcBorders>
              <w:top w:val="single" w:sz="8" w:space="0" w:color="000000"/>
              <w:left w:val="nil"/>
            </w:tcBorders>
            <w:shd w:val="clear" w:color="auto" w:fill="auto"/>
            <w:tcMar>
              <w:top w:w="100" w:type="dxa"/>
              <w:left w:w="100" w:type="dxa"/>
              <w:bottom w:w="100" w:type="dxa"/>
              <w:right w:w="100" w:type="dxa"/>
            </w:tcMar>
          </w:tcPr>
          <w:p w14:paraId="5417D177" w14:textId="77777777" w:rsidR="000E0465" w:rsidRPr="0092690C" w:rsidRDefault="000E0465" w:rsidP="0092690C">
            <w:pPr>
              <w:rPr>
                <w:color w:val="000000" w:themeColor="text1"/>
                <w:sz w:val="20"/>
                <w:szCs w:val="20"/>
              </w:rPr>
            </w:pPr>
            <w:r w:rsidRPr="0092690C">
              <w:rPr>
                <w:color w:val="000000" w:themeColor="text1"/>
                <w:sz w:val="20"/>
                <w:szCs w:val="20"/>
              </w:rPr>
              <w:t>“Article 8 - Transparency of processing</w:t>
            </w:r>
          </w:p>
          <w:p w14:paraId="30CBB506" w14:textId="23D078EF" w:rsidR="000E0465" w:rsidRPr="0092690C" w:rsidRDefault="000E0465" w:rsidP="0092690C">
            <w:pPr>
              <w:rPr>
                <w:color w:val="000000" w:themeColor="text1"/>
                <w:sz w:val="20"/>
                <w:szCs w:val="20"/>
              </w:rPr>
            </w:pPr>
            <w:bookmarkStart w:id="33" w:name="_Int_BczIpblR"/>
            <w:r w:rsidRPr="0092690C">
              <w:rPr>
                <w:color w:val="000000" w:themeColor="text1"/>
                <w:sz w:val="20"/>
                <w:szCs w:val="20"/>
              </w:rPr>
              <w:t xml:space="preserve">68. can be provided in any appropriate format (either through a website, technological tools on </w:t>
            </w:r>
            <w:r w:rsidR="71919D0E" w:rsidRPr="0092690C">
              <w:rPr>
                <w:color w:val="000000" w:themeColor="text1"/>
                <w:sz w:val="20"/>
                <w:szCs w:val="20"/>
              </w:rPr>
              <w:t>personal</w:t>
            </w:r>
            <w:r w:rsidRPr="0092690C">
              <w:rPr>
                <w:color w:val="000000" w:themeColor="text1"/>
                <w:sz w:val="20"/>
                <w:szCs w:val="20"/>
              </w:rPr>
              <w:t xml:space="preserve"> devices, etc.) as long as the information is fairly and effectively presented to the data subject.</w:t>
            </w:r>
            <w:bookmarkEnd w:id="33"/>
            <w:r w:rsidRPr="0092690C">
              <w:rPr>
                <w:color w:val="000000" w:themeColor="text1"/>
                <w:sz w:val="20"/>
                <w:szCs w:val="20"/>
              </w:rPr>
              <w:t xml:space="preserve"> The information presented should be easily accessible, legible, </w:t>
            </w:r>
            <w:r w:rsidR="296BA22C" w:rsidRPr="0092690C">
              <w:rPr>
                <w:color w:val="000000" w:themeColor="text1"/>
                <w:sz w:val="20"/>
                <w:szCs w:val="20"/>
              </w:rPr>
              <w:t>understandable,</w:t>
            </w:r>
            <w:r w:rsidRPr="0092690C">
              <w:rPr>
                <w:color w:val="000000" w:themeColor="text1"/>
                <w:sz w:val="20"/>
                <w:szCs w:val="20"/>
              </w:rPr>
              <w:t xml:space="preserve"> and adapted to the relevant data subjects (for example, in a child friendly language where necessary). Any additional information that is necessary to ensure fair data processing.”</w:t>
            </w:r>
          </w:p>
        </w:tc>
      </w:tr>
      <w:tr w:rsidR="000E0465" w14:paraId="65DBD970" w14:textId="77777777" w:rsidTr="0092690C">
        <w:trPr>
          <w:jc w:val="center"/>
        </w:trPr>
        <w:tc>
          <w:tcPr>
            <w:tcW w:w="1790" w:type="dxa"/>
            <w:tcBorders>
              <w:top w:val="single" w:sz="8" w:space="0" w:color="000000"/>
              <w:right w:val="nil"/>
            </w:tcBorders>
            <w:shd w:val="clear" w:color="auto" w:fill="auto"/>
            <w:tcMar>
              <w:top w:w="100" w:type="dxa"/>
              <w:left w:w="100" w:type="dxa"/>
              <w:bottom w:w="100" w:type="dxa"/>
              <w:right w:w="100" w:type="dxa"/>
            </w:tcMar>
          </w:tcPr>
          <w:p w14:paraId="34F11E99" w14:textId="77777777" w:rsidR="000E0465" w:rsidRPr="0092690C" w:rsidRDefault="000E0465" w:rsidP="0092690C">
            <w:pPr>
              <w:widowControl w:val="0"/>
              <w:rPr>
                <w:color w:val="000000" w:themeColor="text1"/>
                <w:sz w:val="20"/>
                <w:szCs w:val="20"/>
              </w:rPr>
            </w:pPr>
            <w:r w:rsidRPr="0092690C">
              <w:rPr>
                <w:color w:val="000000" w:themeColor="text1"/>
                <w:sz w:val="20"/>
                <w:szCs w:val="20"/>
              </w:rPr>
              <w:t xml:space="preserve">GDPR </w:t>
            </w:r>
          </w:p>
        </w:tc>
        <w:tc>
          <w:tcPr>
            <w:tcW w:w="2160" w:type="dxa"/>
            <w:tcBorders>
              <w:top w:val="single" w:sz="8" w:space="0" w:color="000000"/>
              <w:left w:val="nil"/>
              <w:right w:val="nil"/>
            </w:tcBorders>
            <w:shd w:val="clear" w:color="auto" w:fill="auto"/>
            <w:tcMar>
              <w:top w:w="100" w:type="dxa"/>
              <w:left w:w="100" w:type="dxa"/>
              <w:bottom w:w="100" w:type="dxa"/>
              <w:right w:w="100" w:type="dxa"/>
            </w:tcMar>
          </w:tcPr>
          <w:p w14:paraId="212FAB7A" w14:textId="77777777" w:rsidR="000E0465" w:rsidRPr="0092690C" w:rsidRDefault="000E0465" w:rsidP="0092690C">
            <w:pPr>
              <w:widowControl w:val="0"/>
              <w:rPr>
                <w:color w:val="000000" w:themeColor="text1"/>
                <w:sz w:val="20"/>
                <w:szCs w:val="20"/>
              </w:rPr>
            </w:pPr>
            <w:r w:rsidRPr="0092690C">
              <w:rPr>
                <w:color w:val="000000" w:themeColor="text1"/>
                <w:sz w:val="20"/>
                <w:szCs w:val="20"/>
              </w:rPr>
              <w:t>13.1 (b), 14.1 (b)</w:t>
            </w:r>
          </w:p>
        </w:tc>
        <w:tc>
          <w:tcPr>
            <w:tcW w:w="5410" w:type="dxa"/>
            <w:tcBorders>
              <w:top w:val="single" w:sz="8" w:space="0" w:color="000000"/>
              <w:left w:val="nil"/>
            </w:tcBorders>
            <w:shd w:val="clear" w:color="auto" w:fill="auto"/>
            <w:tcMar>
              <w:top w:w="100" w:type="dxa"/>
              <w:left w:w="100" w:type="dxa"/>
              <w:bottom w:w="100" w:type="dxa"/>
              <w:right w:w="100" w:type="dxa"/>
            </w:tcMar>
          </w:tcPr>
          <w:p w14:paraId="3CD21D45" w14:textId="77777777" w:rsidR="000E0465" w:rsidRPr="0092690C" w:rsidRDefault="000E0465" w:rsidP="0092690C">
            <w:pPr>
              <w:widowControl w:val="0"/>
              <w:spacing w:line="276" w:lineRule="auto"/>
              <w:rPr>
                <w:color w:val="000000" w:themeColor="text1"/>
                <w:sz w:val="20"/>
                <w:szCs w:val="20"/>
              </w:rPr>
            </w:pPr>
            <w:r w:rsidRPr="0092690C">
              <w:rPr>
                <w:color w:val="000000" w:themeColor="text1"/>
                <w:sz w:val="20"/>
                <w:szCs w:val="20"/>
              </w:rPr>
              <w:t>rights access</w:t>
            </w:r>
          </w:p>
          <w:p w14:paraId="63B9B183" w14:textId="77777777" w:rsidR="000E0465" w:rsidRPr="0092690C" w:rsidRDefault="000E0465" w:rsidP="0092690C">
            <w:pPr>
              <w:widowControl w:val="0"/>
              <w:rPr>
                <w:color w:val="000000" w:themeColor="text1"/>
                <w:sz w:val="20"/>
                <w:szCs w:val="20"/>
              </w:rPr>
            </w:pPr>
          </w:p>
        </w:tc>
      </w:tr>
      <w:tr w:rsidR="000E0465" w14:paraId="6BB7E5F9" w14:textId="77777777" w:rsidTr="0092690C">
        <w:trPr>
          <w:jc w:val="center"/>
        </w:trPr>
        <w:tc>
          <w:tcPr>
            <w:tcW w:w="1790" w:type="dxa"/>
            <w:tcBorders>
              <w:top w:val="single" w:sz="8" w:space="0" w:color="000000"/>
              <w:right w:val="nil"/>
            </w:tcBorders>
            <w:shd w:val="clear" w:color="auto" w:fill="auto"/>
            <w:tcMar>
              <w:top w:w="100" w:type="dxa"/>
              <w:left w:w="100" w:type="dxa"/>
              <w:bottom w:w="100" w:type="dxa"/>
              <w:right w:w="100" w:type="dxa"/>
            </w:tcMar>
          </w:tcPr>
          <w:p w14:paraId="3E317847" w14:textId="77777777" w:rsidR="000E0465" w:rsidRPr="0092690C" w:rsidRDefault="000E0465" w:rsidP="0092690C">
            <w:pPr>
              <w:widowControl w:val="0"/>
              <w:rPr>
                <w:color w:val="000000" w:themeColor="text1"/>
                <w:sz w:val="20"/>
                <w:szCs w:val="20"/>
              </w:rPr>
            </w:pPr>
            <w:r w:rsidRPr="0092690C">
              <w:rPr>
                <w:color w:val="000000" w:themeColor="text1"/>
                <w:sz w:val="20"/>
                <w:szCs w:val="20"/>
              </w:rPr>
              <w:t>Quebec Law 25/CAI Guidance</w:t>
            </w:r>
          </w:p>
        </w:tc>
        <w:tc>
          <w:tcPr>
            <w:tcW w:w="2160" w:type="dxa"/>
            <w:tcBorders>
              <w:top w:val="single" w:sz="8" w:space="0" w:color="000000"/>
              <w:left w:val="nil"/>
              <w:right w:val="nil"/>
            </w:tcBorders>
            <w:shd w:val="clear" w:color="auto" w:fill="auto"/>
            <w:tcMar>
              <w:top w:w="100" w:type="dxa"/>
              <w:left w:w="100" w:type="dxa"/>
              <w:bottom w:w="100" w:type="dxa"/>
              <w:right w:w="100" w:type="dxa"/>
            </w:tcMar>
          </w:tcPr>
          <w:p w14:paraId="0AE0066D" w14:textId="77777777" w:rsidR="000E0465" w:rsidRPr="0092690C" w:rsidRDefault="000E0465" w:rsidP="0092690C">
            <w:pPr>
              <w:widowControl w:val="0"/>
              <w:rPr>
                <w:color w:val="000000" w:themeColor="text1"/>
                <w:sz w:val="20"/>
                <w:szCs w:val="20"/>
              </w:rPr>
            </w:pPr>
            <w:r w:rsidRPr="0092690C">
              <w:rPr>
                <w:color w:val="000000" w:themeColor="text1"/>
                <w:sz w:val="20"/>
                <w:szCs w:val="20"/>
              </w:rPr>
              <w:t>B.2 Methods of Control a)</w:t>
            </w:r>
          </w:p>
        </w:tc>
        <w:tc>
          <w:tcPr>
            <w:tcW w:w="5410" w:type="dxa"/>
            <w:tcBorders>
              <w:top w:val="single" w:sz="8" w:space="0" w:color="000000"/>
              <w:left w:val="nil"/>
            </w:tcBorders>
            <w:shd w:val="clear" w:color="auto" w:fill="auto"/>
            <w:tcMar>
              <w:top w:w="100" w:type="dxa"/>
              <w:left w:w="100" w:type="dxa"/>
              <w:bottom w:w="100" w:type="dxa"/>
              <w:right w:w="100" w:type="dxa"/>
            </w:tcMar>
          </w:tcPr>
          <w:p w14:paraId="4F6333C7" w14:textId="77777777" w:rsidR="000E0465" w:rsidRPr="0092690C" w:rsidRDefault="000E0465" w:rsidP="0092690C">
            <w:pPr>
              <w:widowControl w:val="0"/>
              <w:rPr>
                <w:rFonts w:eastAsia="Arial" w:cs="Arial"/>
                <w:color w:val="000000" w:themeColor="text1"/>
                <w:sz w:val="20"/>
                <w:szCs w:val="20"/>
              </w:rPr>
            </w:pPr>
            <w:r w:rsidRPr="0092690C">
              <w:rPr>
                <w:rFonts w:eastAsia="Arial" w:cs="Arial"/>
                <w:color w:val="000000" w:themeColor="text1"/>
                <w:sz w:val="20"/>
                <w:szCs w:val="20"/>
              </w:rPr>
              <w:t>Through rights (access, rectification, etc.) or remedies (complaint to an organization</w:t>
            </w:r>
          </w:p>
          <w:p w14:paraId="2BC62B44" w14:textId="77777777" w:rsidR="000E0465" w:rsidRPr="0092690C" w:rsidRDefault="000E0465" w:rsidP="0092690C">
            <w:pPr>
              <w:widowControl w:val="0"/>
              <w:spacing w:line="276" w:lineRule="auto"/>
              <w:rPr>
                <w:rFonts w:eastAsia="Arial" w:cs="Arial"/>
                <w:color w:val="000000" w:themeColor="text1"/>
                <w:sz w:val="20"/>
                <w:szCs w:val="20"/>
              </w:rPr>
            </w:pPr>
            <w:r w:rsidRPr="0092690C">
              <w:rPr>
                <w:rFonts w:eastAsia="Arial" w:cs="Arial"/>
                <w:color w:val="000000" w:themeColor="text1"/>
                <w:sz w:val="20"/>
                <w:szCs w:val="20"/>
              </w:rPr>
              <w:t>or the CAI, etc.). To ensure that individuals can exercise these rights in full</w:t>
            </w:r>
          </w:p>
          <w:p w14:paraId="6C769E9A" w14:textId="77777777" w:rsidR="000E0465" w:rsidRPr="0092690C" w:rsidRDefault="000E0465" w:rsidP="0092690C">
            <w:pPr>
              <w:widowControl w:val="0"/>
              <w:spacing w:line="276" w:lineRule="auto"/>
              <w:rPr>
                <w:rFonts w:eastAsia="Arial" w:cs="Arial"/>
                <w:color w:val="000000" w:themeColor="text1"/>
                <w:sz w:val="20"/>
                <w:szCs w:val="20"/>
              </w:rPr>
            </w:pPr>
            <w:r w:rsidRPr="0092690C">
              <w:rPr>
                <w:rFonts w:eastAsia="Arial" w:cs="Arial"/>
                <w:color w:val="000000" w:themeColor="text1"/>
                <w:sz w:val="20"/>
                <w:szCs w:val="20"/>
              </w:rPr>
              <w:t xml:space="preserve">knowledge of the facts, the laws provide for </w:t>
            </w:r>
            <w:r w:rsidRPr="0092690C">
              <w:rPr>
                <w:rFonts w:eastAsia="Arial" w:cs="Arial"/>
                <w:b/>
                <w:color w:val="000000" w:themeColor="text1"/>
                <w:sz w:val="20"/>
                <w:szCs w:val="20"/>
              </w:rPr>
              <w:t xml:space="preserve">transparency </w:t>
            </w:r>
            <w:r w:rsidRPr="0092690C">
              <w:rPr>
                <w:rFonts w:eastAsia="Arial" w:cs="Arial"/>
                <w:color w:val="000000" w:themeColor="text1"/>
                <w:sz w:val="20"/>
                <w:szCs w:val="20"/>
              </w:rPr>
              <w:t>obligations for</w:t>
            </w:r>
          </w:p>
          <w:p w14:paraId="1DAF5E0D" w14:textId="77777777" w:rsidR="000E0465" w:rsidRPr="0092690C" w:rsidRDefault="000E0465" w:rsidP="0092690C">
            <w:pPr>
              <w:widowControl w:val="0"/>
              <w:spacing w:line="276" w:lineRule="auto"/>
              <w:rPr>
                <w:color w:val="000000" w:themeColor="text1"/>
                <w:sz w:val="20"/>
                <w:szCs w:val="20"/>
              </w:rPr>
            </w:pPr>
            <w:r w:rsidRPr="0092690C">
              <w:rPr>
                <w:rFonts w:eastAsia="Arial" w:cs="Arial"/>
                <w:color w:val="000000" w:themeColor="text1"/>
                <w:sz w:val="20"/>
                <w:szCs w:val="20"/>
              </w:rPr>
              <w:t>organizations;</w:t>
            </w:r>
          </w:p>
        </w:tc>
      </w:tr>
      <w:tr w:rsidR="000E0465" w14:paraId="09980824" w14:textId="77777777" w:rsidTr="0092690C">
        <w:trPr>
          <w:jc w:val="center"/>
        </w:trPr>
        <w:tc>
          <w:tcPr>
            <w:tcW w:w="1790" w:type="dxa"/>
            <w:tcBorders>
              <w:top w:val="single" w:sz="8" w:space="0" w:color="000000"/>
              <w:right w:val="nil"/>
            </w:tcBorders>
            <w:shd w:val="clear" w:color="auto" w:fill="auto"/>
            <w:tcMar>
              <w:top w:w="100" w:type="dxa"/>
              <w:left w:w="100" w:type="dxa"/>
              <w:bottom w:w="100" w:type="dxa"/>
              <w:right w:w="100" w:type="dxa"/>
            </w:tcMar>
          </w:tcPr>
          <w:p w14:paraId="08FE65B7" w14:textId="77777777" w:rsidR="000E0465" w:rsidRPr="0092690C" w:rsidRDefault="000E0465" w:rsidP="0092690C">
            <w:pPr>
              <w:widowControl w:val="0"/>
              <w:rPr>
                <w:color w:val="000000" w:themeColor="text1"/>
                <w:sz w:val="20"/>
                <w:szCs w:val="20"/>
              </w:rPr>
            </w:pPr>
            <w:r w:rsidRPr="0092690C">
              <w:rPr>
                <w:color w:val="000000" w:themeColor="text1"/>
                <w:sz w:val="20"/>
                <w:szCs w:val="20"/>
              </w:rPr>
              <w:t>ISO/IEC 29100</w:t>
            </w:r>
          </w:p>
        </w:tc>
        <w:tc>
          <w:tcPr>
            <w:tcW w:w="2160" w:type="dxa"/>
            <w:tcBorders>
              <w:top w:val="single" w:sz="8" w:space="0" w:color="000000"/>
              <w:left w:val="nil"/>
              <w:right w:val="nil"/>
            </w:tcBorders>
            <w:shd w:val="clear" w:color="auto" w:fill="auto"/>
            <w:tcMar>
              <w:top w:w="100" w:type="dxa"/>
              <w:left w:w="100" w:type="dxa"/>
              <w:bottom w:w="100" w:type="dxa"/>
              <w:right w:w="100" w:type="dxa"/>
            </w:tcMar>
          </w:tcPr>
          <w:p w14:paraId="2290D24F" w14:textId="77777777" w:rsidR="000E0465" w:rsidRPr="00C76EFA" w:rsidRDefault="000E0465" w:rsidP="0092690C">
            <w:pPr>
              <w:widowControl w:val="0"/>
              <w:spacing w:line="276" w:lineRule="auto"/>
              <w:rPr>
                <w:bCs/>
                <w:color w:val="000000" w:themeColor="text1"/>
                <w:sz w:val="20"/>
                <w:szCs w:val="20"/>
              </w:rPr>
            </w:pPr>
            <w:r w:rsidRPr="00C76EFA">
              <w:rPr>
                <w:rFonts w:eastAsia="Arial" w:cs="Arial"/>
                <w:bCs/>
                <w:color w:val="000000" w:themeColor="text1"/>
                <w:sz w:val="20"/>
                <w:szCs w:val="20"/>
              </w:rPr>
              <w:t>6.9 Individual participation and access (pg.17)</w:t>
            </w:r>
          </w:p>
        </w:tc>
        <w:tc>
          <w:tcPr>
            <w:tcW w:w="5410" w:type="dxa"/>
            <w:tcBorders>
              <w:top w:val="single" w:sz="8" w:space="0" w:color="000000"/>
              <w:left w:val="nil"/>
            </w:tcBorders>
            <w:shd w:val="clear" w:color="auto" w:fill="auto"/>
            <w:tcMar>
              <w:top w:w="100" w:type="dxa"/>
              <w:left w:w="100" w:type="dxa"/>
              <w:bottom w:w="100" w:type="dxa"/>
              <w:right w:w="100" w:type="dxa"/>
            </w:tcMar>
          </w:tcPr>
          <w:p w14:paraId="28E0D65A" w14:textId="77777777" w:rsidR="000E0465" w:rsidRPr="0092690C" w:rsidRDefault="000E0465" w:rsidP="0092690C">
            <w:pPr>
              <w:widowControl w:val="0"/>
              <w:spacing w:line="276" w:lineRule="auto"/>
              <w:rPr>
                <w:rFonts w:eastAsia="Arial" w:cs="Arial"/>
                <w:color w:val="000000" w:themeColor="text1"/>
                <w:sz w:val="20"/>
                <w:szCs w:val="20"/>
              </w:rPr>
            </w:pPr>
            <w:r w:rsidRPr="0092690C">
              <w:rPr>
                <w:rFonts w:eastAsia="Arial" w:cs="Arial"/>
                <w:color w:val="000000" w:themeColor="text1"/>
                <w:sz w:val="20"/>
                <w:szCs w:val="20"/>
              </w:rPr>
              <w:t>Adhering to the individual participation and access principle means:</w:t>
            </w:r>
          </w:p>
          <w:p w14:paraId="548BF045" w14:textId="77777777" w:rsidR="000E0465" w:rsidRPr="0092690C" w:rsidRDefault="000E0465" w:rsidP="0092690C">
            <w:pPr>
              <w:widowControl w:val="0"/>
              <w:spacing w:line="276" w:lineRule="auto"/>
              <w:rPr>
                <w:rFonts w:eastAsia="Arial" w:cs="Arial"/>
                <w:color w:val="000000" w:themeColor="text1"/>
                <w:sz w:val="20"/>
                <w:szCs w:val="20"/>
              </w:rPr>
            </w:pPr>
            <w:r w:rsidRPr="0092690C">
              <w:rPr>
                <w:rFonts w:eastAsia="Arial" w:cs="Arial"/>
                <w:color w:val="000000" w:themeColor="text1"/>
                <w:sz w:val="20"/>
                <w:szCs w:val="20"/>
              </w:rPr>
              <w:t>- giving PII principals the ability to access and review their PII, provided their identity is first</w:t>
            </w:r>
          </w:p>
          <w:p w14:paraId="178D5C0A" w14:textId="77777777" w:rsidR="000E0465" w:rsidRPr="0092690C" w:rsidRDefault="000E0465" w:rsidP="0092690C">
            <w:pPr>
              <w:widowControl w:val="0"/>
              <w:spacing w:line="276" w:lineRule="auto"/>
              <w:rPr>
                <w:rFonts w:eastAsia="Arial" w:cs="Arial"/>
                <w:color w:val="000000" w:themeColor="text1"/>
                <w:sz w:val="20"/>
                <w:szCs w:val="20"/>
              </w:rPr>
            </w:pPr>
            <w:r w:rsidRPr="0092690C">
              <w:rPr>
                <w:rFonts w:eastAsia="Arial" w:cs="Arial"/>
                <w:color w:val="000000" w:themeColor="text1"/>
                <w:sz w:val="20"/>
                <w:szCs w:val="20"/>
              </w:rPr>
              <w:t>authenticated with an appropriate level of assurance and such access is not prohibited by applicable</w:t>
            </w:r>
          </w:p>
          <w:p w14:paraId="25109E5C" w14:textId="77777777" w:rsidR="000E0465" w:rsidRPr="0092690C" w:rsidRDefault="000E0465" w:rsidP="0092690C">
            <w:pPr>
              <w:widowControl w:val="0"/>
              <w:spacing w:line="276" w:lineRule="auto"/>
              <w:rPr>
                <w:color w:val="000000" w:themeColor="text1"/>
                <w:sz w:val="20"/>
                <w:szCs w:val="20"/>
              </w:rPr>
            </w:pPr>
            <w:r w:rsidRPr="0092690C">
              <w:rPr>
                <w:rFonts w:eastAsia="Arial" w:cs="Arial"/>
                <w:color w:val="000000" w:themeColor="text1"/>
                <w:sz w:val="20"/>
                <w:szCs w:val="20"/>
              </w:rPr>
              <w:t>law;</w:t>
            </w:r>
          </w:p>
        </w:tc>
      </w:tr>
    </w:tbl>
    <w:p w14:paraId="04A92915" w14:textId="5F0BFC5B" w:rsidR="000E0465" w:rsidRDefault="000E0465" w:rsidP="000E0465"/>
    <w:p w14:paraId="60C056ED" w14:textId="3BE8EC50" w:rsidR="000E0465" w:rsidRDefault="000E0465" w:rsidP="000E0465">
      <w:pPr>
        <w:pStyle w:val="Heading2"/>
      </w:pPr>
      <w:bookmarkStart w:id="34" w:name="_Toc193376362"/>
      <w:r>
        <w:lastRenderedPageBreak/>
        <w:t xml:space="preserve">6.4 </w:t>
      </w:r>
      <w:r w:rsidR="008F1888">
        <w:t xml:space="preserve">TPI 4 – A </w:t>
      </w:r>
      <w:r>
        <w:t>measure of security information integrity</w:t>
      </w:r>
      <w:bookmarkEnd w:id="34"/>
    </w:p>
    <w:p w14:paraId="0CE0E504" w14:textId="548FB3F5" w:rsidR="0092690C" w:rsidRPr="0092690C" w:rsidRDefault="000E0465" w:rsidP="000E0465">
      <w:pPr>
        <w:pBdr>
          <w:top w:val="nil"/>
          <w:left w:val="nil"/>
          <w:bottom w:val="nil"/>
          <w:right w:val="nil"/>
          <w:between w:val="nil"/>
        </w:pBdr>
        <w:rPr>
          <w:rFonts w:eastAsia="Times New Roman" w:cs="Arial"/>
          <w:color w:val="000000"/>
        </w:rPr>
      </w:pPr>
      <w:r w:rsidRPr="0C2E1696">
        <w:rPr>
          <w:rFonts w:eastAsia="Times New Roman" w:cs="Arial"/>
          <w:color w:val="000000" w:themeColor="text1"/>
        </w:rPr>
        <w:t>This TPI captures the relevant digital certificate(s), (e.g. x.509), or security token(s), e</w:t>
      </w:r>
      <w:r w:rsidRPr="0C2E1696">
        <w:rPr>
          <w:rFonts w:cs="Arial"/>
        </w:rPr>
        <w:t>.g.,</w:t>
      </w:r>
      <w:r w:rsidRPr="0C2E1696">
        <w:rPr>
          <w:rFonts w:eastAsia="Times New Roman" w:cs="Arial"/>
          <w:color w:val="000000" w:themeColor="text1"/>
        </w:rPr>
        <w:t xml:space="preserve"> (</w:t>
      </w:r>
      <w:r w:rsidR="1F6C7D9C" w:rsidRPr="0C2E1696">
        <w:rPr>
          <w:rFonts w:eastAsia="Times New Roman" w:cs="Arial"/>
          <w:color w:val="000000" w:themeColor="text1"/>
        </w:rPr>
        <w:t>JavaScript</w:t>
      </w:r>
      <w:r w:rsidRPr="0C2E1696">
        <w:rPr>
          <w:rFonts w:eastAsia="Times New Roman" w:cs="Arial"/>
          <w:color w:val="000000" w:themeColor="text1"/>
        </w:rPr>
        <w:t xml:space="preserve"> Object Signing and Encryption (</w:t>
      </w:r>
      <w:hyperlink r:id="rId21">
        <w:r w:rsidRPr="0C2E1696">
          <w:rPr>
            <w:rFonts w:eastAsia="Times New Roman" w:cs="Arial"/>
            <w:color w:val="1155CC"/>
            <w:u w:val="single"/>
          </w:rPr>
          <w:t>JOSE</w:t>
        </w:r>
      </w:hyperlink>
      <w:r w:rsidRPr="0C2E1696">
        <w:rPr>
          <w:rFonts w:eastAsia="Times New Roman" w:cs="Arial"/>
          <w:color w:val="000000" w:themeColor="text1"/>
        </w:rPr>
        <w:t>) or Con</w:t>
      </w:r>
      <w:r w:rsidRPr="0C2E1696">
        <w:rPr>
          <w:rFonts w:cs="Arial"/>
        </w:rPr>
        <w:t xml:space="preserve">cise Binary Objection Representation </w:t>
      </w:r>
      <w:r w:rsidR="005D7E3E">
        <w:rPr>
          <w:rFonts w:cs="Arial"/>
        </w:rPr>
        <w:t>(CBOR) Object Signing and Encryption</w:t>
      </w:r>
      <w:r w:rsidRPr="0C2E1696">
        <w:rPr>
          <w:rFonts w:cs="Arial"/>
        </w:rPr>
        <w:t>(</w:t>
      </w:r>
      <w:hyperlink r:id="rId22">
        <w:r w:rsidR="005D7E3E" w:rsidRPr="0C2E1696">
          <w:rPr>
            <w:rFonts w:cs="Arial"/>
            <w:color w:val="1155CC"/>
            <w:u w:val="single"/>
          </w:rPr>
          <w:t>C</w:t>
        </w:r>
        <w:r w:rsidR="005D7E3E">
          <w:rPr>
            <w:rFonts w:cs="Arial"/>
            <w:color w:val="1155CC"/>
            <w:u w:val="single"/>
          </w:rPr>
          <w:t>OSE</w:t>
        </w:r>
      </w:hyperlink>
      <w:r w:rsidRPr="0C2E1696">
        <w:rPr>
          <w:rFonts w:eastAsia="Times New Roman" w:cs="Arial"/>
          <w:color w:val="000000" w:themeColor="text1"/>
        </w:rPr>
        <w:t xml:space="preserve">), and/or </w:t>
      </w:r>
      <w:r w:rsidRPr="0C2E1696">
        <w:rPr>
          <w:rFonts w:cs="Arial"/>
        </w:rPr>
        <w:t>verifiable</w:t>
      </w:r>
      <w:r w:rsidRPr="0C2E1696">
        <w:rPr>
          <w:rFonts w:eastAsia="Times New Roman" w:cs="Arial"/>
          <w:color w:val="000000" w:themeColor="text1"/>
        </w:rPr>
        <w:t xml:space="preserve"> c</w:t>
      </w:r>
      <w:r w:rsidRPr="0C2E1696">
        <w:rPr>
          <w:rFonts w:cs="Arial"/>
        </w:rPr>
        <w:t>redential or mobile driver license documents</w:t>
      </w:r>
      <w:r w:rsidRPr="0C2E1696">
        <w:rPr>
          <w:rFonts w:eastAsia="Times New Roman" w:cs="Arial"/>
          <w:color w:val="000000" w:themeColor="text1"/>
        </w:rPr>
        <w:t xml:space="preserve"> (</w:t>
      </w:r>
      <w:r w:rsidRPr="0C2E1696">
        <w:rPr>
          <w:rFonts w:cs="Arial"/>
        </w:rPr>
        <w:t>i.e.,</w:t>
      </w:r>
      <w:r w:rsidRPr="0C2E1696">
        <w:rPr>
          <w:rFonts w:eastAsia="Times New Roman" w:cs="Arial"/>
          <w:color w:val="000000" w:themeColor="text1"/>
        </w:rPr>
        <w:t xml:space="preserve"> </w:t>
      </w:r>
      <w:hyperlink r:id="rId23">
        <w:r w:rsidRPr="0C2E1696">
          <w:rPr>
            <w:rFonts w:cs="Arial"/>
            <w:color w:val="1155CC"/>
            <w:u w:val="single"/>
          </w:rPr>
          <w:t>Decentralized Identifiers (DIDs) v1.0</w:t>
        </w:r>
      </w:hyperlink>
      <w:r w:rsidRPr="0C2E1696">
        <w:rPr>
          <w:rFonts w:cs="Arial"/>
        </w:rPr>
        <w:t xml:space="preserve"> or </w:t>
      </w:r>
      <w:hyperlink r:id="rId24">
        <w:r w:rsidRPr="0C2E1696">
          <w:rPr>
            <w:rFonts w:cs="Arial"/>
            <w:color w:val="1155CC"/>
            <w:u w:val="single"/>
          </w:rPr>
          <w:t>m</w:t>
        </w:r>
        <w:r w:rsidR="000E64E0">
          <w:rPr>
            <w:rFonts w:cs="Arial"/>
            <w:color w:val="1155CC"/>
            <w:u w:val="single"/>
          </w:rPr>
          <w:t>DL</w:t>
        </w:r>
      </w:hyperlink>
      <w:r w:rsidRPr="0C2E1696">
        <w:rPr>
          <w:rFonts w:cs="Arial"/>
        </w:rPr>
        <w:t xml:space="preserve">) </w:t>
      </w:r>
      <w:r w:rsidR="00F91B18" w:rsidRPr="0C2E1696">
        <w:rPr>
          <w:rFonts w:cs="Arial"/>
        </w:rPr>
        <w:t>a</w:t>
      </w:r>
      <w:r w:rsidRPr="0C2E1696">
        <w:rPr>
          <w:rFonts w:eastAsia="Times New Roman" w:cs="Arial"/>
          <w:color w:val="000000" w:themeColor="text1"/>
        </w:rPr>
        <w:t xml:space="preserve">nd keys to compare the public security meta-data, and policy objects against the required information in TPI 2. It checks for consistency and continuity in the security provided and </w:t>
      </w:r>
      <w:r w:rsidRPr="0C2E1696">
        <w:rPr>
          <w:rFonts w:cs="Arial"/>
        </w:rPr>
        <w:t>is adequate</w:t>
      </w:r>
      <w:r w:rsidRPr="0C2E1696">
        <w:rPr>
          <w:rFonts w:eastAsia="Times New Roman" w:cs="Arial"/>
          <w:color w:val="000000" w:themeColor="text1"/>
        </w:rPr>
        <w:t>.</w:t>
      </w:r>
      <w:r w:rsidR="00F91B18" w:rsidRPr="0C2E1696">
        <w:rPr>
          <w:rFonts w:eastAsia="Times New Roman" w:cs="Arial"/>
          <w:color w:val="000000" w:themeColor="text1"/>
        </w:rPr>
        <w:t xml:space="preserve">  Tables 10, 11, and 12 below provide details on the information captured and how it is measured as well as the legal requirements and standards where this TPI shows compliance and adequacy.</w:t>
      </w:r>
    </w:p>
    <w:p w14:paraId="11CF4F0E" w14:textId="15C4BC7C" w:rsidR="00142FCB" w:rsidRPr="00142FCB" w:rsidRDefault="00142FCB" w:rsidP="009D437D">
      <w:pPr>
        <w:pStyle w:val="Caption"/>
      </w:pPr>
      <w:bookmarkStart w:id="35" w:name="_Toc193376377"/>
      <w:r w:rsidRPr="00142FCB">
        <w:t xml:space="preserve">Table </w:t>
      </w:r>
      <w:fldSimple w:instr=" SEQ Table \* ARABIC ">
        <w:r>
          <w:rPr>
            <w:noProof/>
          </w:rPr>
          <w:t>10</w:t>
        </w:r>
      </w:fldSimple>
      <w:r w:rsidRPr="00142FCB">
        <w:t>. TPI 4 Measurement and Description</w:t>
      </w:r>
      <w:bookmarkEnd w:id="35"/>
    </w:p>
    <w:tbl>
      <w:tblPr>
        <w:tblW w:w="9360" w:type="dxa"/>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0"/>
        <w:gridCol w:w="3960"/>
        <w:gridCol w:w="1630"/>
      </w:tblGrid>
      <w:tr w:rsidR="000E0465" w14:paraId="6D6BB841" w14:textId="77777777" w:rsidTr="0092690C">
        <w:tc>
          <w:tcPr>
            <w:tcW w:w="3770" w:type="dxa"/>
            <w:tcBorders>
              <w:top w:val="single" w:sz="8" w:space="0" w:color="000000"/>
              <w:right w:val="nil"/>
            </w:tcBorders>
            <w:shd w:val="clear" w:color="auto" w:fill="auto"/>
            <w:tcMar>
              <w:top w:w="100" w:type="dxa"/>
              <w:left w:w="100" w:type="dxa"/>
              <w:bottom w:w="100" w:type="dxa"/>
              <w:right w:w="100" w:type="dxa"/>
            </w:tcMar>
          </w:tcPr>
          <w:p w14:paraId="796A7C9D" w14:textId="77777777" w:rsidR="000E0465" w:rsidRPr="0092690C" w:rsidRDefault="000E0465" w:rsidP="0092690C">
            <w:pPr>
              <w:widowControl w:val="0"/>
              <w:rPr>
                <w:bCs/>
                <w:sz w:val="20"/>
                <w:szCs w:val="20"/>
              </w:rPr>
            </w:pPr>
            <w:r w:rsidRPr="0092690C">
              <w:rPr>
                <w:bCs/>
                <w:sz w:val="20"/>
                <w:szCs w:val="20"/>
              </w:rPr>
              <w:t>TPI 4 - Security and Sovereignty</w:t>
            </w:r>
          </w:p>
        </w:tc>
        <w:tc>
          <w:tcPr>
            <w:tcW w:w="3960" w:type="dxa"/>
            <w:tcBorders>
              <w:top w:val="single" w:sz="8" w:space="0" w:color="000000"/>
              <w:left w:val="nil"/>
              <w:right w:val="nil"/>
            </w:tcBorders>
            <w:shd w:val="clear" w:color="auto" w:fill="auto"/>
            <w:tcMar>
              <w:top w:w="100" w:type="dxa"/>
              <w:left w:w="100" w:type="dxa"/>
              <w:bottom w:w="100" w:type="dxa"/>
              <w:right w:w="100" w:type="dxa"/>
            </w:tcMar>
          </w:tcPr>
          <w:p w14:paraId="053B830F" w14:textId="77777777" w:rsidR="000E0465" w:rsidRPr="0092690C" w:rsidRDefault="000E0465" w:rsidP="0092690C">
            <w:pPr>
              <w:widowControl w:val="0"/>
              <w:rPr>
                <w:bCs/>
                <w:sz w:val="20"/>
                <w:szCs w:val="20"/>
              </w:rPr>
            </w:pPr>
            <w:r w:rsidRPr="0092690C">
              <w:rPr>
                <w:bCs/>
                <w:sz w:val="20"/>
                <w:szCs w:val="20"/>
              </w:rPr>
              <w:t>Description</w:t>
            </w:r>
          </w:p>
        </w:tc>
        <w:tc>
          <w:tcPr>
            <w:tcW w:w="1630" w:type="dxa"/>
            <w:tcBorders>
              <w:top w:val="single" w:sz="8" w:space="0" w:color="000000"/>
              <w:left w:val="nil"/>
            </w:tcBorders>
            <w:shd w:val="clear" w:color="auto" w:fill="auto"/>
            <w:tcMar>
              <w:top w:w="100" w:type="dxa"/>
              <w:left w:w="100" w:type="dxa"/>
              <w:bottom w:w="100" w:type="dxa"/>
              <w:right w:w="100" w:type="dxa"/>
            </w:tcMar>
          </w:tcPr>
          <w:p w14:paraId="571F78D7" w14:textId="77777777" w:rsidR="000E0465" w:rsidRPr="0092690C" w:rsidRDefault="000E0465" w:rsidP="0092690C">
            <w:pPr>
              <w:widowControl w:val="0"/>
              <w:jc w:val="center"/>
              <w:rPr>
                <w:bCs/>
                <w:sz w:val="20"/>
                <w:szCs w:val="20"/>
              </w:rPr>
            </w:pPr>
            <w:r w:rsidRPr="0092690C">
              <w:rPr>
                <w:bCs/>
                <w:sz w:val="20"/>
                <w:szCs w:val="20"/>
              </w:rPr>
              <w:t>Measure</w:t>
            </w:r>
          </w:p>
        </w:tc>
      </w:tr>
      <w:tr w:rsidR="000E0465" w14:paraId="0E2184A4" w14:textId="77777777" w:rsidTr="0092690C">
        <w:tc>
          <w:tcPr>
            <w:tcW w:w="3770" w:type="dxa"/>
            <w:tcBorders>
              <w:top w:val="single" w:sz="8" w:space="0" w:color="000000"/>
              <w:right w:val="nil"/>
            </w:tcBorders>
            <w:shd w:val="clear" w:color="auto" w:fill="auto"/>
            <w:tcMar>
              <w:top w:w="100" w:type="dxa"/>
              <w:left w:w="100" w:type="dxa"/>
              <w:bottom w:w="100" w:type="dxa"/>
              <w:right w:w="100" w:type="dxa"/>
            </w:tcMar>
          </w:tcPr>
          <w:p w14:paraId="588881E2" w14:textId="5CA83E4F" w:rsidR="000E0465" w:rsidRPr="0092690C" w:rsidRDefault="000E0465" w:rsidP="0092690C">
            <w:pPr>
              <w:rPr>
                <w:sz w:val="20"/>
                <w:szCs w:val="20"/>
              </w:rPr>
            </w:pPr>
            <w:r w:rsidRPr="0092690C">
              <w:rPr>
                <w:sz w:val="20"/>
                <w:szCs w:val="20"/>
              </w:rPr>
              <w:t xml:space="preserve">Transparent Security and Sovereignty  </w:t>
            </w:r>
          </w:p>
        </w:tc>
        <w:tc>
          <w:tcPr>
            <w:tcW w:w="3960" w:type="dxa"/>
            <w:tcBorders>
              <w:top w:val="single" w:sz="8" w:space="0" w:color="000000"/>
              <w:left w:val="nil"/>
              <w:right w:val="nil"/>
            </w:tcBorders>
            <w:shd w:val="clear" w:color="auto" w:fill="auto"/>
            <w:tcMar>
              <w:top w:w="100" w:type="dxa"/>
              <w:left w:w="100" w:type="dxa"/>
              <w:bottom w:w="100" w:type="dxa"/>
              <w:right w:w="100" w:type="dxa"/>
            </w:tcMar>
          </w:tcPr>
          <w:p w14:paraId="07EBA714" w14:textId="3FE97905" w:rsidR="000E0465" w:rsidRPr="0092690C" w:rsidRDefault="000E0465" w:rsidP="0092690C">
            <w:pPr>
              <w:rPr>
                <w:sz w:val="20"/>
                <w:szCs w:val="20"/>
              </w:rPr>
            </w:pPr>
            <w:r w:rsidRPr="0092690C">
              <w:rPr>
                <w:sz w:val="20"/>
                <w:szCs w:val="20"/>
              </w:rPr>
              <w:t xml:space="preserve">Transparency over extra-territorial data transfer sovereignty </w:t>
            </w:r>
            <w:r w:rsidR="00F91B18" w:rsidRPr="0092690C">
              <w:rPr>
                <w:sz w:val="20"/>
                <w:szCs w:val="20"/>
              </w:rPr>
              <w:t>+ security</w:t>
            </w:r>
            <w:r w:rsidRPr="0092690C">
              <w:rPr>
                <w:sz w:val="20"/>
                <w:szCs w:val="20"/>
              </w:rPr>
              <w:t xml:space="preserve"> certificate or token identification matches Controller identification</w:t>
            </w:r>
          </w:p>
        </w:tc>
        <w:tc>
          <w:tcPr>
            <w:tcW w:w="1630" w:type="dxa"/>
            <w:tcBorders>
              <w:top w:val="single" w:sz="8" w:space="0" w:color="000000"/>
              <w:left w:val="nil"/>
            </w:tcBorders>
            <w:shd w:val="clear" w:color="auto" w:fill="auto"/>
            <w:tcMar>
              <w:top w:w="100" w:type="dxa"/>
              <w:left w:w="100" w:type="dxa"/>
              <w:bottom w:w="100" w:type="dxa"/>
              <w:right w:w="100" w:type="dxa"/>
            </w:tcMar>
          </w:tcPr>
          <w:p w14:paraId="767553EC" w14:textId="77777777" w:rsidR="000E0465" w:rsidRPr="0092690C" w:rsidRDefault="000E0465" w:rsidP="0092690C">
            <w:pPr>
              <w:widowControl w:val="0"/>
              <w:jc w:val="center"/>
              <w:rPr>
                <w:sz w:val="20"/>
                <w:szCs w:val="20"/>
              </w:rPr>
            </w:pPr>
            <w:r w:rsidRPr="0092690C">
              <w:rPr>
                <w:sz w:val="20"/>
                <w:szCs w:val="20"/>
              </w:rPr>
              <w:t>+1</w:t>
            </w:r>
          </w:p>
        </w:tc>
      </w:tr>
      <w:tr w:rsidR="000E0465" w14:paraId="24F7595D" w14:textId="77777777" w:rsidTr="0092690C">
        <w:tc>
          <w:tcPr>
            <w:tcW w:w="3770" w:type="dxa"/>
            <w:tcBorders>
              <w:top w:val="single" w:sz="8" w:space="0" w:color="000000"/>
              <w:right w:val="nil"/>
            </w:tcBorders>
            <w:shd w:val="clear" w:color="auto" w:fill="auto"/>
            <w:tcMar>
              <w:top w:w="100" w:type="dxa"/>
              <w:left w:w="100" w:type="dxa"/>
              <w:bottom w:w="100" w:type="dxa"/>
              <w:right w:w="100" w:type="dxa"/>
            </w:tcMar>
          </w:tcPr>
          <w:p w14:paraId="36EA3D74" w14:textId="77777777" w:rsidR="000E0465" w:rsidRPr="0092690C" w:rsidRDefault="000E0465" w:rsidP="0092690C">
            <w:pPr>
              <w:rPr>
                <w:sz w:val="20"/>
                <w:szCs w:val="20"/>
              </w:rPr>
            </w:pPr>
            <w:r w:rsidRPr="0092690C">
              <w:rPr>
                <w:sz w:val="20"/>
                <w:szCs w:val="20"/>
              </w:rPr>
              <w:t xml:space="preserve">Transparent Security </w:t>
            </w:r>
          </w:p>
        </w:tc>
        <w:tc>
          <w:tcPr>
            <w:tcW w:w="3960" w:type="dxa"/>
            <w:tcBorders>
              <w:top w:val="single" w:sz="8" w:space="0" w:color="000000"/>
              <w:left w:val="nil"/>
              <w:right w:val="nil"/>
            </w:tcBorders>
            <w:shd w:val="clear" w:color="auto" w:fill="auto"/>
            <w:tcMar>
              <w:top w:w="100" w:type="dxa"/>
              <w:left w:w="100" w:type="dxa"/>
              <w:bottom w:w="100" w:type="dxa"/>
              <w:right w:w="100" w:type="dxa"/>
            </w:tcMar>
          </w:tcPr>
          <w:p w14:paraId="5344559E" w14:textId="77777777" w:rsidR="000E0465" w:rsidRPr="0092690C" w:rsidRDefault="000E0465" w:rsidP="0092690C">
            <w:pPr>
              <w:widowControl w:val="0"/>
              <w:rPr>
                <w:sz w:val="20"/>
                <w:szCs w:val="20"/>
              </w:rPr>
            </w:pPr>
            <w:r w:rsidRPr="0092690C">
              <w:rPr>
                <w:sz w:val="20"/>
                <w:szCs w:val="20"/>
              </w:rPr>
              <w:t>Location does not cover local or regional distinction but does match at national or commonwealth level.</w:t>
            </w:r>
          </w:p>
        </w:tc>
        <w:tc>
          <w:tcPr>
            <w:tcW w:w="1630" w:type="dxa"/>
            <w:tcBorders>
              <w:top w:val="single" w:sz="8" w:space="0" w:color="000000"/>
              <w:left w:val="nil"/>
            </w:tcBorders>
            <w:shd w:val="clear" w:color="auto" w:fill="auto"/>
            <w:tcMar>
              <w:top w:w="100" w:type="dxa"/>
              <w:left w:w="100" w:type="dxa"/>
              <w:bottom w:w="100" w:type="dxa"/>
              <w:right w:w="100" w:type="dxa"/>
            </w:tcMar>
          </w:tcPr>
          <w:p w14:paraId="7F957D5D" w14:textId="77777777" w:rsidR="000E0465" w:rsidRPr="0092690C" w:rsidRDefault="000E0465" w:rsidP="0092690C">
            <w:pPr>
              <w:widowControl w:val="0"/>
              <w:jc w:val="center"/>
              <w:rPr>
                <w:sz w:val="20"/>
                <w:szCs w:val="20"/>
              </w:rPr>
            </w:pPr>
            <w:r w:rsidRPr="0092690C">
              <w:rPr>
                <w:sz w:val="20"/>
                <w:szCs w:val="20"/>
              </w:rPr>
              <w:t>0</w:t>
            </w:r>
          </w:p>
        </w:tc>
      </w:tr>
      <w:tr w:rsidR="000E0465" w14:paraId="4A55F52B" w14:textId="77777777" w:rsidTr="0092690C">
        <w:tc>
          <w:tcPr>
            <w:tcW w:w="3770" w:type="dxa"/>
            <w:tcBorders>
              <w:top w:val="single" w:sz="8" w:space="0" w:color="000000"/>
              <w:right w:val="nil"/>
            </w:tcBorders>
            <w:shd w:val="clear" w:color="auto" w:fill="auto"/>
            <w:tcMar>
              <w:top w:w="100" w:type="dxa"/>
              <w:left w:w="100" w:type="dxa"/>
              <w:bottom w:w="100" w:type="dxa"/>
              <w:right w:w="100" w:type="dxa"/>
            </w:tcMar>
          </w:tcPr>
          <w:p w14:paraId="402C12F0" w14:textId="5A44C7A7" w:rsidR="000E0465" w:rsidRPr="0092690C" w:rsidRDefault="000E0465" w:rsidP="0092690C">
            <w:pPr>
              <w:rPr>
                <w:sz w:val="20"/>
                <w:szCs w:val="20"/>
              </w:rPr>
            </w:pPr>
            <w:r w:rsidRPr="0092690C">
              <w:rPr>
                <w:sz w:val="20"/>
                <w:szCs w:val="20"/>
              </w:rPr>
              <w:t>Non-</w:t>
            </w:r>
            <w:r w:rsidR="00F91B18" w:rsidRPr="0092690C">
              <w:rPr>
                <w:sz w:val="20"/>
                <w:szCs w:val="20"/>
              </w:rPr>
              <w:t>Transparent, non</w:t>
            </w:r>
            <w:r w:rsidRPr="0092690C">
              <w:rPr>
                <w:sz w:val="20"/>
                <w:szCs w:val="20"/>
              </w:rPr>
              <w:t xml:space="preserve">-matching, or unknown Controller Security information </w:t>
            </w:r>
          </w:p>
        </w:tc>
        <w:tc>
          <w:tcPr>
            <w:tcW w:w="3960" w:type="dxa"/>
            <w:tcBorders>
              <w:top w:val="single" w:sz="8" w:space="0" w:color="000000"/>
              <w:left w:val="nil"/>
              <w:right w:val="nil"/>
            </w:tcBorders>
            <w:shd w:val="clear" w:color="auto" w:fill="auto"/>
            <w:tcMar>
              <w:top w:w="100" w:type="dxa"/>
              <w:left w:w="100" w:type="dxa"/>
              <w:bottom w:w="100" w:type="dxa"/>
              <w:right w:w="100" w:type="dxa"/>
            </w:tcMar>
          </w:tcPr>
          <w:p w14:paraId="75DF45F8" w14:textId="77777777" w:rsidR="000E0465" w:rsidRPr="0092690C" w:rsidRDefault="000E0465" w:rsidP="0092690C">
            <w:pPr>
              <w:widowControl w:val="0"/>
              <w:rPr>
                <w:sz w:val="20"/>
                <w:szCs w:val="20"/>
              </w:rPr>
            </w:pPr>
            <w:r w:rsidRPr="0092690C">
              <w:rPr>
                <w:sz w:val="20"/>
                <w:szCs w:val="20"/>
              </w:rPr>
              <w:t>Location of processing and data subject not the same.</w:t>
            </w:r>
          </w:p>
        </w:tc>
        <w:tc>
          <w:tcPr>
            <w:tcW w:w="1630" w:type="dxa"/>
            <w:tcBorders>
              <w:top w:val="single" w:sz="8" w:space="0" w:color="000000"/>
              <w:left w:val="nil"/>
            </w:tcBorders>
            <w:shd w:val="clear" w:color="auto" w:fill="auto"/>
            <w:tcMar>
              <w:top w:w="100" w:type="dxa"/>
              <w:left w:w="100" w:type="dxa"/>
              <w:bottom w:w="100" w:type="dxa"/>
              <w:right w:w="100" w:type="dxa"/>
            </w:tcMar>
          </w:tcPr>
          <w:p w14:paraId="118C318F" w14:textId="77777777" w:rsidR="000E0465" w:rsidRPr="0092690C" w:rsidRDefault="000E0465" w:rsidP="0092690C">
            <w:pPr>
              <w:widowControl w:val="0"/>
              <w:jc w:val="center"/>
              <w:rPr>
                <w:sz w:val="20"/>
                <w:szCs w:val="20"/>
              </w:rPr>
            </w:pPr>
            <w:r w:rsidRPr="0092690C">
              <w:rPr>
                <w:sz w:val="20"/>
                <w:szCs w:val="20"/>
              </w:rPr>
              <w:t>-1</w:t>
            </w:r>
          </w:p>
        </w:tc>
      </w:tr>
    </w:tbl>
    <w:p w14:paraId="5802790A" w14:textId="77777777" w:rsidR="009D437D" w:rsidRDefault="009D437D" w:rsidP="0092690C">
      <w:pPr>
        <w:pStyle w:val="Heading3"/>
      </w:pPr>
    </w:p>
    <w:p w14:paraId="479469D1" w14:textId="77777777" w:rsidR="009D437D" w:rsidRDefault="009D437D">
      <w:pPr>
        <w:spacing w:line="240" w:lineRule="auto"/>
        <w:rPr>
          <w:rFonts w:eastAsiaTheme="majorEastAsia" w:cstheme="majorBidi"/>
          <w:b/>
          <w:color w:val="000000" w:themeColor="text1"/>
          <w:sz w:val="24"/>
          <w:szCs w:val="28"/>
        </w:rPr>
      </w:pPr>
      <w:r>
        <w:br w:type="page"/>
      </w:r>
    </w:p>
    <w:p w14:paraId="15741117" w14:textId="71EA60E7" w:rsidR="00F91B18" w:rsidRPr="0092690C" w:rsidRDefault="000E0465" w:rsidP="0092690C">
      <w:pPr>
        <w:pStyle w:val="Heading3"/>
      </w:pPr>
      <w:r>
        <w:lastRenderedPageBreak/>
        <w:t>6.4.1 Analysis</w:t>
      </w:r>
    </w:p>
    <w:p w14:paraId="5ACD1BFC" w14:textId="23456712" w:rsidR="00142FCB" w:rsidRPr="00142FCB" w:rsidRDefault="00142FCB" w:rsidP="009D437D">
      <w:pPr>
        <w:pStyle w:val="Caption"/>
      </w:pPr>
      <w:bookmarkStart w:id="36" w:name="_Toc193376378"/>
      <w:r w:rsidRPr="00142FCB">
        <w:t xml:space="preserve">Table </w:t>
      </w:r>
      <w:fldSimple w:instr=" SEQ Table \* ARABIC ">
        <w:r>
          <w:rPr>
            <w:noProof/>
          </w:rPr>
          <w:t>11</w:t>
        </w:r>
      </w:fldSimple>
      <w:r w:rsidRPr="00142FCB">
        <w:t xml:space="preserve">. TPI 4 </w:t>
      </w:r>
      <w:r w:rsidRPr="009D437D">
        <w:t>Analysis</w:t>
      </w:r>
      <w:r w:rsidR="00C76EFA">
        <w:t xml:space="preserve"> of Security and Sovereignty</w:t>
      </w:r>
      <w:bookmarkEnd w:id="36"/>
    </w:p>
    <w:tbl>
      <w:tblPr>
        <w:tblW w:w="9360" w:type="dxa"/>
        <w:jc w:val="center"/>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0"/>
        <w:gridCol w:w="5130"/>
        <w:gridCol w:w="1900"/>
      </w:tblGrid>
      <w:tr w:rsidR="000E0465" w14:paraId="2D81F547" w14:textId="77777777" w:rsidTr="009D437D">
        <w:trPr>
          <w:jc w:val="center"/>
        </w:trPr>
        <w:tc>
          <w:tcPr>
            <w:tcW w:w="233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3EB80C37" w14:textId="77777777" w:rsidR="000E0465" w:rsidRPr="0092690C" w:rsidRDefault="000E0465" w:rsidP="00A018BC">
            <w:pPr>
              <w:widowControl w:val="0"/>
              <w:rPr>
                <w:sz w:val="20"/>
                <w:szCs w:val="20"/>
              </w:rPr>
            </w:pPr>
            <w:r w:rsidRPr="0092690C">
              <w:rPr>
                <w:sz w:val="20"/>
                <w:szCs w:val="20"/>
              </w:rPr>
              <w:t>Result</w:t>
            </w:r>
          </w:p>
        </w:tc>
        <w:tc>
          <w:tcPr>
            <w:tcW w:w="513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35B97BB0" w14:textId="77777777" w:rsidR="000E0465" w:rsidRPr="0092690C" w:rsidRDefault="000E0465" w:rsidP="00CD0E29">
            <w:pPr>
              <w:widowControl w:val="0"/>
              <w:rPr>
                <w:sz w:val="20"/>
                <w:szCs w:val="20"/>
              </w:rPr>
            </w:pPr>
            <w:r w:rsidRPr="0092690C">
              <w:rPr>
                <w:sz w:val="20"/>
                <w:szCs w:val="20"/>
              </w:rPr>
              <w:t>Analysis</w:t>
            </w:r>
          </w:p>
        </w:tc>
        <w:tc>
          <w:tcPr>
            <w:tcW w:w="1900"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27CAE362" w14:textId="147542CD" w:rsidR="000E0465" w:rsidRPr="0092690C" w:rsidRDefault="00CA1AAD" w:rsidP="00543158">
            <w:pPr>
              <w:widowControl w:val="0"/>
              <w:jc w:val="center"/>
              <w:rPr>
                <w:sz w:val="20"/>
                <w:szCs w:val="20"/>
              </w:rPr>
            </w:pPr>
            <w:r>
              <w:rPr>
                <w:sz w:val="20"/>
                <w:szCs w:val="20"/>
              </w:rPr>
              <w:t>Measure</w:t>
            </w:r>
          </w:p>
        </w:tc>
      </w:tr>
      <w:tr w:rsidR="000E0465" w14:paraId="18A6C7F9" w14:textId="77777777" w:rsidTr="009D437D">
        <w:trPr>
          <w:jc w:val="center"/>
        </w:trPr>
        <w:tc>
          <w:tcPr>
            <w:tcW w:w="233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6DAB73FD" w14:textId="77777777" w:rsidR="000E0465" w:rsidRPr="0092690C" w:rsidRDefault="000E0465" w:rsidP="0092690C">
            <w:pPr>
              <w:widowControl w:val="0"/>
              <w:rPr>
                <w:sz w:val="20"/>
                <w:szCs w:val="20"/>
              </w:rPr>
            </w:pPr>
            <w:r w:rsidRPr="0092690C">
              <w:rPr>
                <w:sz w:val="20"/>
                <w:szCs w:val="20"/>
              </w:rPr>
              <w:t>Dynamic</w:t>
            </w:r>
          </w:p>
        </w:tc>
        <w:tc>
          <w:tcPr>
            <w:tcW w:w="513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658DB0E3" w14:textId="25FAA1C1" w:rsidR="000E0465" w:rsidRPr="0092690C" w:rsidRDefault="000E0465" w:rsidP="0092690C">
            <w:pPr>
              <w:rPr>
                <w:sz w:val="20"/>
                <w:szCs w:val="20"/>
              </w:rPr>
            </w:pPr>
            <w:r w:rsidRPr="0092690C">
              <w:rPr>
                <w:sz w:val="20"/>
                <w:szCs w:val="20"/>
              </w:rPr>
              <w:t xml:space="preserve">The </w:t>
            </w:r>
            <w:r w:rsidR="00BF3AD1">
              <w:rPr>
                <w:sz w:val="20"/>
                <w:szCs w:val="20"/>
              </w:rPr>
              <w:t>TLS</w:t>
            </w:r>
            <w:r w:rsidR="00BF3AD1" w:rsidRPr="0092690C">
              <w:rPr>
                <w:sz w:val="20"/>
                <w:szCs w:val="20"/>
              </w:rPr>
              <w:t xml:space="preserve"> </w:t>
            </w:r>
            <w:r w:rsidRPr="0092690C">
              <w:rPr>
                <w:sz w:val="20"/>
                <w:szCs w:val="20"/>
              </w:rPr>
              <w:t>certificate Organization Unit and Jurisdiction fields match the captured legal entity information, extra-territorial data transfers are presented, and policy is appropriate for protection of PII.</w:t>
            </w:r>
          </w:p>
        </w:tc>
        <w:tc>
          <w:tcPr>
            <w:tcW w:w="1900"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07C7D799" w14:textId="77777777" w:rsidR="000E0465" w:rsidRPr="0092690C" w:rsidRDefault="000E0465" w:rsidP="0092690C">
            <w:pPr>
              <w:widowControl w:val="0"/>
              <w:jc w:val="center"/>
              <w:rPr>
                <w:sz w:val="20"/>
                <w:szCs w:val="20"/>
              </w:rPr>
            </w:pPr>
            <w:r w:rsidRPr="0092690C">
              <w:rPr>
                <w:sz w:val="20"/>
                <w:szCs w:val="20"/>
              </w:rPr>
              <w:t>+1</w:t>
            </w:r>
          </w:p>
        </w:tc>
      </w:tr>
      <w:tr w:rsidR="000E0465" w14:paraId="6563A39D" w14:textId="77777777" w:rsidTr="009D437D">
        <w:trPr>
          <w:jc w:val="center"/>
        </w:trPr>
        <w:tc>
          <w:tcPr>
            <w:tcW w:w="2330" w:type="dxa"/>
            <w:tcBorders>
              <w:top w:val="single" w:sz="8" w:space="0" w:color="000000"/>
              <w:bottom w:val="single" w:sz="8" w:space="0" w:color="000000"/>
              <w:right w:val="nil"/>
            </w:tcBorders>
            <w:shd w:val="clear" w:color="auto" w:fill="auto"/>
            <w:tcMar>
              <w:top w:w="100" w:type="dxa"/>
              <w:left w:w="100" w:type="dxa"/>
              <w:bottom w:w="100" w:type="dxa"/>
              <w:right w:w="100" w:type="dxa"/>
            </w:tcMar>
          </w:tcPr>
          <w:p w14:paraId="5152688F" w14:textId="77777777" w:rsidR="000E0465" w:rsidRPr="0092690C" w:rsidRDefault="000E0465" w:rsidP="0092690C">
            <w:pPr>
              <w:widowControl w:val="0"/>
              <w:rPr>
                <w:sz w:val="20"/>
                <w:szCs w:val="20"/>
              </w:rPr>
            </w:pPr>
            <w:r w:rsidRPr="0092690C">
              <w:rPr>
                <w:sz w:val="20"/>
                <w:szCs w:val="20"/>
              </w:rPr>
              <w:t>Operational</w:t>
            </w:r>
          </w:p>
        </w:tc>
        <w:tc>
          <w:tcPr>
            <w:tcW w:w="513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61820C44" w14:textId="13CB1E15" w:rsidR="000E0465" w:rsidRPr="0092690C" w:rsidRDefault="000E0465" w:rsidP="0092690C">
            <w:pPr>
              <w:widowControl w:val="0"/>
              <w:rPr>
                <w:sz w:val="20"/>
                <w:szCs w:val="20"/>
              </w:rPr>
            </w:pPr>
            <w:r w:rsidRPr="0092690C">
              <w:rPr>
                <w:sz w:val="20"/>
                <w:szCs w:val="20"/>
              </w:rPr>
              <w:t xml:space="preserve">The TLS/SSL certificate OU matches and is in the same jurisdiction, or different jurisdiction, with some </w:t>
            </w:r>
            <w:r w:rsidR="00F91B18" w:rsidRPr="0092690C">
              <w:rPr>
                <w:sz w:val="20"/>
                <w:szCs w:val="20"/>
              </w:rPr>
              <w:t>other security</w:t>
            </w:r>
            <w:r w:rsidRPr="0092690C">
              <w:rPr>
                <w:sz w:val="20"/>
                <w:szCs w:val="20"/>
              </w:rPr>
              <w:t xml:space="preserve"> notification for extra-territorial data transfer </w:t>
            </w:r>
          </w:p>
        </w:tc>
        <w:tc>
          <w:tcPr>
            <w:tcW w:w="1900" w:type="dxa"/>
            <w:tcBorders>
              <w:top w:val="single" w:sz="8" w:space="0" w:color="000000"/>
              <w:left w:val="nil"/>
              <w:bottom w:val="single" w:sz="8" w:space="0" w:color="000000"/>
            </w:tcBorders>
            <w:shd w:val="clear" w:color="auto" w:fill="auto"/>
            <w:tcMar>
              <w:top w:w="100" w:type="dxa"/>
              <w:left w:w="100" w:type="dxa"/>
              <w:bottom w:w="100" w:type="dxa"/>
              <w:right w:w="100" w:type="dxa"/>
            </w:tcMar>
          </w:tcPr>
          <w:p w14:paraId="551D7022" w14:textId="77777777" w:rsidR="000E0465" w:rsidRPr="0092690C" w:rsidRDefault="000E0465" w:rsidP="0092690C">
            <w:pPr>
              <w:widowControl w:val="0"/>
              <w:jc w:val="center"/>
              <w:rPr>
                <w:sz w:val="20"/>
                <w:szCs w:val="20"/>
              </w:rPr>
            </w:pPr>
            <w:r w:rsidRPr="0092690C">
              <w:rPr>
                <w:sz w:val="20"/>
                <w:szCs w:val="20"/>
              </w:rPr>
              <w:t>0</w:t>
            </w:r>
          </w:p>
        </w:tc>
      </w:tr>
      <w:tr w:rsidR="000E0465" w14:paraId="717D6BB6" w14:textId="77777777" w:rsidTr="009D437D">
        <w:trPr>
          <w:jc w:val="center"/>
        </w:trPr>
        <w:tc>
          <w:tcPr>
            <w:tcW w:w="2330" w:type="dxa"/>
            <w:tcBorders>
              <w:top w:val="single" w:sz="8" w:space="0" w:color="000000"/>
              <w:right w:val="nil"/>
            </w:tcBorders>
            <w:shd w:val="clear" w:color="auto" w:fill="auto"/>
            <w:tcMar>
              <w:top w:w="100" w:type="dxa"/>
              <w:left w:w="100" w:type="dxa"/>
              <w:bottom w:w="100" w:type="dxa"/>
              <w:right w:w="100" w:type="dxa"/>
            </w:tcMar>
          </w:tcPr>
          <w:p w14:paraId="3A88A104" w14:textId="77777777" w:rsidR="000E0465" w:rsidRPr="0092690C" w:rsidRDefault="000E0465" w:rsidP="0092690C">
            <w:pPr>
              <w:widowControl w:val="0"/>
              <w:rPr>
                <w:sz w:val="20"/>
                <w:szCs w:val="20"/>
              </w:rPr>
            </w:pPr>
            <w:r w:rsidRPr="0092690C">
              <w:rPr>
                <w:sz w:val="20"/>
                <w:szCs w:val="20"/>
              </w:rPr>
              <w:t>Not Operable</w:t>
            </w:r>
          </w:p>
        </w:tc>
        <w:tc>
          <w:tcPr>
            <w:tcW w:w="5130" w:type="dxa"/>
            <w:tcBorders>
              <w:top w:val="single" w:sz="8" w:space="0" w:color="000000"/>
              <w:left w:val="nil"/>
              <w:right w:val="nil"/>
            </w:tcBorders>
            <w:shd w:val="clear" w:color="auto" w:fill="auto"/>
            <w:tcMar>
              <w:top w:w="100" w:type="dxa"/>
              <w:left w:w="100" w:type="dxa"/>
              <w:bottom w:w="100" w:type="dxa"/>
              <w:right w:w="100" w:type="dxa"/>
            </w:tcMar>
          </w:tcPr>
          <w:p w14:paraId="2695EE45" w14:textId="0805001D" w:rsidR="000E0465" w:rsidRPr="0092690C" w:rsidRDefault="000E0465" w:rsidP="0092690C">
            <w:pPr>
              <w:widowControl w:val="0"/>
              <w:rPr>
                <w:sz w:val="20"/>
                <w:szCs w:val="20"/>
              </w:rPr>
            </w:pPr>
            <w:r w:rsidRPr="0092690C">
              <w:rPr>
                <w:sz w:val="20"/>
                <w:szCs w:val="20"/>
              </w:rPr>
              <w:t>The</w:t>
            </w:r>
            <w:r w:rsidR="007371EC">
              <w:rPr>
                <w:sz w:val="20"/>
                <w:szCs w:val="20"/>
              </w:rPr>
              <w:t xml:space="preserve"> </w:t>
            </w:r>
            <w:r w:rsidR="00BF3AD1">
              <w:rPr>
                <w:sz w:val="20"/>
                <w:szCs w:val="20"/>
              </w:rPr>
              <w:t>TLS</w:t>
            </w:r>
            <w:r w:rsidRPr="0092690C">
              <w:rPr>
                <w:sz w:val="20"/>
                <w:szCs w:val="20"/>
              </w:rPr>
              <w:t xml:space="preserve"> certificate OU does not match, or the </w:t>
            </w:r>
            <w:r w:rsidR="00F91B18" w:rsidRPr="0092690C">
              <w:rPr>
                <w:sz w:val="20"/>
                <w:szCs w:val="20"/>
              </w:rPr>
              <w:t>legal jurisdiction</w:t>
            </w:r>
            <w:r w:rsidRPr="0092690C">
              <w:rPr>
                <w:sz w:val="20"/>
                <w:szCs w:val="20"/>
              </w:rPr>
              <w:t xml:space="preserve"> is not sovereign to the PII </w:t>
            </w:r>
            <w:r w:rsidR="007371EC" w:rsidRPr="0092690C">
              <w:rPr>
                <w:sz w:val="20"/>
                <w:szCs w:val="20"/>
              </w:rPr>
              <w:t>Principal,</w:t>
            </w:r>
            <w:r w:rsidRPr="0092690C">
              <w:rPr>
                <w:sz w:val="20"/>
                <w:szCs w:val="20"/>
              </w:rPr>
              <w:t xml:space="preserve"> no security information for data transfers. Object identifiers are not relevant in context.</w:t>
            </w:r>
          </w:p>
        </w:tc>
        <w:tc>
          <w:tcPr>
            <w:tcW w:w="1900" w:type="dxa"/>
            <w:tcBorders>
              <w:top w:val="single" w:sz="8" w:space="0" w:color="000000"/>
              <w:left w:val="nil"/>
            </w:tcBorders>
            <w:shd w:val="clear" w:color="auto" w:fill="auto"/>
            <w:tcMar>
              <w:top w:w="100" w:type="dxa"/>
              <w:left w:w="100" w:type="dxa"/>
              <w:bottom w:w="100" w:type="dxa"/>
              <w:right w:w="100" w:type="dxa"/>
            </w:tcMar>
          </w:tcPr>
          <w:p w14:paraId="60E2A268" w14:textId="77777777" w:rsidR="000E0465" w:rsidRPr="0092690C" w:rsidRDefault="000E0465" w:rsidP="0092690C">
            <w:pPr>
              <w:widowControl w:val="0"/>
              <w:jc w:val="center"/>
              <w:rPr>
                <w:sz w:val="20"/>
                <w:szCs w:val="20"/>
              </w:rPr>
            </w:pPr>
            <w:r w:rsidRPr="0092690C">
              <w:rPr>
                <w:sz w:val="20"/>
                <w:szCs w:val="20"/>
              </w:rPr>
              <w:t>-1</w:t>
            </w:r>
          </w:p>
        </w:tc>
      </w:tr>
    </w:tbl>
    <w:p w14:paraId="62A4AD36" w14:textId="77777777" w:rsidR="009D437D" w:rsidRDefault="009D437D" w:rsidP="000E0465"/>
    <w:p w14:paraId="04C18B10" w14:textId="50CE4227" w:rsidR="000E0465" w:rsidRPr="0092690C" w:rsidRDefault="000E0465" w:rsidP="009D437D">
      <w:pPr>
        <w:pStyle w:val="NOTEParagraph"/>
        <w:rPr>
          <w:color w:val="000000"/>
        </w:rPr>
      </w:pPr>
      <w:r>
        <w:t xml:space="preserve">Note: Further checks can be done related to the cryptographic integrity of the keys and certificates, e.g. is </w:t>
      </w:r>
      <w:hyperlink r:id="rId25">
        <w:r>
          <w:rPr>
            <w:color w:val="1155CC"/>
            <w:u w:val="single"/>
          </w:rPr>
          <w:t>TLS 1.3</w:t>
        </w:r>
      </w:hyperlink>
      <w:r>
        <w:t xml:space="preserve"> being used, is the cipher suite adherent to the specification and related standards. The same can be done with other credential types and public keys</w:t>
      </w:r>
      <w:r w:rsidR="00BF3AD1">
        <w:t>.</w:t>
      </w:r>
    </w:p>
    <w:p w14:paraId="5C598DEC" w14:textId="77777777" w:rsidR="009D437D" w:rsidRDefault="009D437D">
      <w:pPr>
        <w:spacing w:line="240" w:lineRule="auto"/>
        <w:rPr>
          <w:rFonts w:eastAsiaTheme="majorEastAsia" w:cstheme="majorBidi"/>
          <w:b/>
          <w:color w:val="000000" w:themeColor="text1"/>
          <w:sz w:val="24"/>
          <w:szCs w:val="28"/>
        </w:rPr>
      </w:pPr>
      <w:r>
        <w:br w:type="page"/>
      </w:r>
    </w:p>
    <w:p w14:paraId="7F5CAD93" w14:textId="46CDB304" w:rsidR="00F91B18" w:rsidRPr="009D437D" w:rsidRDefault="000E0465" w:rsidP="009D437D">
      <w:pPr>
        <w:pStyle w:val="Heading3"/>
      </w:pPr>
      <w:r>
        <w:lastRenderedPageBreak/>
        <w:t xml:space="preserve">6.4.2 Legal </w:t>
      </w:r>
      <w:r w:rsidR="00F91B18">
        <w:t xml:space="preserve">and Standards </w:t>
      </w:r>
      <w:r>
        <w:t>References</w:t>
      </w:r>
    </w:p>
    <w:p w14:paraId="3CCCC657" w14:textId="05443A23" w:rsidR="00142FCB" w:rsidRPr="00142FCB" w:rsidRDefault="00142FCB" w:rsidP="009D437D">
      <w:pPr>
        <w:pStyle w:val="Caption"/>
      </w:pPr>
      <w:bookmarkStart w:id="37" w:name="_Toc193376379"/>
      <w:r w:rsidRPr="00142FCB">
        <w:t xml:space="preserve">Table </w:t>
      </w:r>
      <w:fldSimple w:instr=" SEQ Table \* ARABIC ">
        <w:r w:rsidRPr="00142FCB">
          <w:rPr>
            <w:noProof/>
          </w:rPr>
          <w:t>12</w:t>
        </w:r>
      </w:fldSimple>
      <w:r w:rsidRPr="00142FCB">
        <w:t xml:space="preserve">. TPI 4 Legal and </w:t>
      </w:r>
      <w:r w:rsidRPr="009D437D">
        <w:t>Standards</w:t>
      </w:r>
      <w:r w:rsidRPr="00142FCB">
        <w:t xml:space="preserve"> References</w:t>
      </w:r>
      <w:bookmarkEnd w:id="37"/>
    </w:p>
    <w:tbl>
      <w:tblPr>
        <w:tblW w:w="9360" w:type="dxa"/>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3690"/>
        <w:gridCol w:w="3880"/>
      </w:tblGrid>
      <w:tr w:rsidR="000E0465" w14:paraId="2B04D4B4" w14:textId="77777777" w:rsidTr="0092690C">
        <w:trPr>
          <w:trHeight w:val="470"/>
        </w:trPr>
        <w:tc>
          <w:tcPr>
            <w:tcW w:w="1790" w:type="dxa"/>
            <w:tcBorders>
              <w:top w:val="single" w:sz="8" w:space="0" w:color="000000"/>
              <w:right w:val="nil"/>
            </w:tcBorders>
            <w:shd w:val="clear" w:color="auto" w:fill="auto"/>
            <w:tcMar>
              <w:top w:w="100" w:type="dxa"/>
              <w:left w:w="100" w:type="dxa"/>
              <w:bottom w:w="100" w:type="dxa"/>
              <w:right w:w="100" w:type="dxa"/>
            </w:tcMar>
          </w:tcPr>
          <w:p w14:paraId="63F2B3BD" w14:textId="77777777" w:rsidR="000E0465" w:rsidRPr="0092690C" w:rsidRDefault="000E0465" w:rsidP="0092690C">
            <w:pPr>
              <w:widowControl w:val="0"/>
              <w:rPr>
                <w:sz w:val="20"/>
                <w:szCs w:val="20"/>
              </w:rPr>
            </w:pPr>
            <w:r w:rsidRPr="0092690C">
              <w:rPr>
                <w:sz w:val="20"/>
                <w:szCs w:val="20"/>
              </w:rPr>
              <w:t>Instrument</w:t>
            </w:r>
          </w:p>
        </w:tc>
        <w:tc>
          <w:tcPr>
            <w:tcW w:w="3690" w:type="dxa"/>
            <w:tcBorders>
              <w:top w:val="single" w:sz="8" w:space="0" w:color="000000"/>
              <w:left w:val="nil"/>
              <w:right w:val="nil"/>
            </w:tcBorders>
            <w:shd w:val="clear" w:color="auto" w:fill="auto"/>
            <w:tcMar>
              <w:top w:w="100" w:type="dxa"/>
              <w:left w:w="100" w:type="dxa"/>
              <w:bottom w:w="100" w:type="dxa"/>
              <w:right w:w="100" w:type="dxa"/>
            </w:tcMar>
          </w:tcPr>
          <w:p w14:paraId="70E6542A" w14:textId="77777777" w:rsidR="000E0465" w:rsidRPr="0092690C" w:rsidRDefault="000E0465" w:rsidP="0092690C">
            <w:pPr>
              <w:widowControl w:val="0"/>
              <w:rPr>
                <w:sz w:val="20"/>
                <w:szCs w:val="20"/>
              </w:rPr>
            </w:pPr>
            <w:r w:rsidRPr="0092690C">
              <w:rPr>
                <w:sz w:val="20"/>
                <w:szCs w:val="20"/>
              </w:rPr>
              <w:t>Reference</w:t>
            </w:r>
          </w:p>
        </w:tc>
        <w:tc>
          <w:tcPr>
            <w:tcW w:w="3880" w:type="dxa"/>
            <w:tcBorders>
              <w:top w:val="single" w:sz="8" w:space="0" w:color="000000"/>
              <w:left w:val="nil"/>
            </w:tcBorders>
            <w:shd w:val="clear" w:color="auto" w:fill="auto"/>
            <w:tcMar>
              <w:top w:w="100" w:type="dxa"/>
              <w:left w:w="100" w:type="dxa"/>
              <w:bottom w:w="100" w:type="dxa"/>
              <w:right w:w="100" w:type="dxa"/>
            </w:tcMar>
          </w:tcPr>
          <w:p w14:paraId="4F37CEC9" w14:textId="77777777" w:rsidR="000E0465" w:rsidRPr="0092690C" w:rsidRDefault="000E0465" w:rsidP="0092690C">
            <w:pPr>
              <w:widowControl w:val="0"/>
              <w:rPr>
                <w:sz w:val="20"/>
                <w:szCs w:val="20"/>
              </w:rPr>
            </w:pPr>
            <w:r w:rsidRPr="0092690C">
              <w:rPr>
                <w:sz w:val="20"/>
                <w:szCs w:val="20"/>
              </w:rPr>
              <w:t>Text</w:t>
            </w:r>
          </w:p>
        </w:tc>
      </w:tr>
      <w:tr w:rsidR="000E0465" w14:paraId="56628201" w14:textId="77777777" w:rsidTr="0092690C">
        <w:tc>
          <w:tcPr>
            <w:tcW w:w="1790" w:type="dxa"/>
            <w:tcBorders>
              <w:top w:val="single" w:sz="8" w:space="0" w:color="000000"/>
              <w:right w:val="nil"/>
            </w:tcBorders>
            <w:shd w:val="clear" w:color="auto" w:fill="auto"/>
            <w:tcMar>
              <w:top w:w="100" w:type="dxa"/>
              <w:left w:w="100" w:type="dxa"/>
              <w:bottom w:w="100" w:type="dxa"/>
              <w:right w:w="100" w:type="dxa"/>
            </w:tcMar>
          </w:tcPr>
          <w:p w14:paraId="7360D581" w14:textId="77777777" w:rsidR="000E0465" w:rsidRPr="0092690C" w:rsidRDefault="000E0465" w:rsidP="0092690C">
            <w:pPr>
              <w:widowControl w:val="0"/>
              <w:rPr>
                <w:sz w:val="20"/>
                <w:szCs w:val="20"/>
              </w:rPr>
            </w:pPr>
            <w:r w:rsidRPr="0092690C">
              <w:rPr>
                <w:sz w:val="20"/>
                <w:szCs w:val="20"/>
              </w:rPr>
              <w:t>CoE 108 + (Code of Conduct)</w:t>
            </w:r>
          </w:p>
        </w:tc>
        <w:tc>
          <w:tcPr>
            <w:tcW w:w="3690" w:type="dxa"/>
            <w:tcBorders>
              <w:top w:val="single" w:sz="8" w:space="0" w:color="000000"/>
              <w:left w:val="nil"/>
              <w:right w:val="nil"/>
            </w:tcBorders>
            <w:shd w:val="clear" w:color="auto" w:fill="auto"/>
            <w:tcMar>
              <w:top w:w="100" w:type="dxa"/>
              <w:left w:w="100" w:type="dxa"/>
              <w:bottom w:w="100" w:type="dxa"/>
              <w:right w:w="100" w:type="dxa"/>
            </w:tcMar>
          </w:tcPr>
          <w:p w14:paraId="64EBA714" w14:textId="77777777" w:rsidR="000E0465" w:rsidRPr="0092690C" w:rsidRDefault="000E0465" w:rsidP="0092690C">
            <w:pPr>
              <w:widowControl w:val="0"/>
              <w:rPr>
                <w:sz w:val="20"/>
                <w:szCs w:val="20"/>
              </w:rPr>
            </w:pPr>
            <w:r w:rsidRPr="0092690C">
              <w:rPr>
                <w:sz w:val="20"/>
                <w:szCs w:val="20"/>
              </w:rPr>
              <w:t>Article 7 - Data Security 63 p.22 &amp; 110. pg. 28</w:t>
            </w:r>
          </w:p>
        </w:tc>
        <w:tc>
          <w:tcPr>
            <w:tcW w:w="3880" w:type="dxa"/>
            <w:tcBorders>
              <w:top w:val="single" w:sz="8" w:space="0" w:color="000000"/>
              <w:left w:val="nil"/>
            </w:tcBorders>
            <w:shd w:val="clear" w:color="auto" w:fill="auto"/>
            <w:tcMar>
              <w:top w:w="100" w:type="dxa"/>
              <w:left w:w="100" w:type="dxa"/>
              <w:bottom w:w="100" w:type="dxa"/>
              <w:right w:w="100" w:type="dxa"/>
            </w:tcMar>
          </w:tcPr>
          <w:p w14:paraId="76CB0355" w14:textId="1A803B10" w:rsidR="000E0465" w:rsidRPr="0092690C" w:rsidRDefault="000E0465" w:rsidP="0092690C">
            <w:pPr>
              <w:spacing w:line="276" w:lineRule="auto"/>
              <w:rPr>
                <w:color w:val="1D1B1C"/>
                <w:sz w:val="20"/>
                <w:szCs w:val="20"/>
              </w:rPr>
            </w:pPr>
            <w:r w:rsidRPr="0092690C">
              <w:rPr>
                <w:color w:val="1D1B1C"/>
                <w:sz w:val="20"/>
                <w:szCs w:val="20"/>
              </w:rPr>
              <w:t>63. Security measures should take into account the</w:t>
            </w:r>
            <w:r w:rsidR="00265575" w:rsidRPr="0092690C">
              <w:rPr>
                <w:color w:val="1D1B1C"/>
                <w:sz w:val="20"/>
                <w:szCs w:val="20"/>
              </w:rPr>
              <w:t xml:space="preserve"> </w:t>
            </w:r>
            <w:r w:rsidRPr="0092690C">
              <w:rPr>
                <w:color w:val="1D1B1C"/>
                <w:sz w:val="20"/>
                <w:szCs w:val="20"/>
              </w:rPr>
              <w:t>current state of the art of data-security methods and</w:t>
            </w:r>
            <w:r w:rsidR="00265575" w:rsidRPr="0092690C">
              <w:rPr>
                <w:color w:val="1D1B1C"/>
                <w:sz w:val="20"/>
                <w:szCs w:val="20"/>
              </w:rPr>
              <w:t xml:space="preserve"> </w:t>
            </w:r>
            <w:r w:rsidRPr="0092690C">
              <w:rPr>
                <w:color w:val="1D1B1C"/>
                <w:sz w:val="20"/>
                <w:szCs w:val="20"/>
              </w:rPr>
              <w:t>techniques in the field of data processing. Their cost</w:t>
            </w:r>
            <w:r w:rsidR="00265575" w:rsidRPr="0092690C">
              <w:rPr>
                <w:color w:val="1D1B1C"/>
                <w:sz w:val="20"/>
                <w:szCs w:val="20"/>
              </w:rPr>
              <w:t xml:space="preserve"> </w:t>
            </w:r>
            <w:r w:rsidRPr="0092690C">
              <w:rPr>
                <w:color w:val="1D1B1C"/>
                <w:sz w:val="20"/>
                <w:szCs w:val="20"/>
              </w:rPr>
              <w:t>should be commensurate with the seriousness and</w:t>
            </w:r>
            <w:r w:rsidR="00265575" w:rsidRPr="0092690C">
              <w:rPr>
                <w:color w:val="1D1B1C"/>
                <w:sz w:val="20"/>
                <w:szCs w:val="20"/>
              </w:rPr>
              <w:t xml:space="preserve"> </w:t>
            </w:r>
            <w:r w:rsidRPr="0092690C">
              <w:rPr>
                <w:color w:val="1D1B1C"/>
                <w:sz w:val="20"/>
                <w:szCs w:val="20"/>
              </w:rPr>
              <w:t>probability of the potential risks. Security measures</w:t>
            </w:r>
            <w:r w:rsidR="00265575" w:rsidRPr="0092690C">
              <w:rPr>
                <w:color w:val="1D1B1C"/>
                <w:sz w:val="20"/>
                <w:szCs w:val="20"/>
              </w:rPr>
              <w:t xml:space="preserve"> </w:t>
            </w:r>
            <w:r w:rsidRPr="0092690C">
              <w:rPr>
                <w:color w:val="1D1B1C"/>
                <w:sz w:val="20"/>
                <w:szCs w:val="20"/>
              </w:rPr>
              <w:t>should be kept under review and updated where</w:t>
            </w:r>
            <w:r w:rsidR="00265575" w:rsidRPr="0092690C">
              <w:rPr>
                <w:color w:val="1D1B1C"/>
                <w:sz w:val="20"/>
                <w:szCs w:val="20"/>
              </w:rPr>
              <w:t xml:space="preserve"> </w:t>
            </w:r>
            <w:r w:rsidRPr="0092690C">
              <w:rPr>
                <w:color w:val="1D1B1C"/>
                <w:sz w:val="20"/>
                <w:szCs w:val="20"/>
              </w:rPr>
              <w:t>necessary.</w:t>
            </w:r>
          </w:p>
          <w:p w14:paraId="654BC279" w14:textId="77777777" w:rsidR="000E0465" w:rsidRPr="0092690C" w:rsidRDefault="000E0465" w:rsidP="0092690C">
            <w:pPr>
              <w:rPr>
                <w:sz w:val="20"/>
                <w:szCs w:val="20"/>
              </w:rPr>
            </w:pPr>
          </w:p>
          <w:p w14:paraId="267079B2" w14:textId="77777777" w:rsidR="000E0465" w:rsidRPr="0092690C" w:rsidRDefault="000E0465" w:rsidP="0092690C">
            <w:pPr>
              <w:rPr>
                <w:color w:val="1D1B1C"/>
                <w:sz w:val="20"/>
                <w:szCs w:val="20"/>
              </w:rPr>
            </w:pPr>
            <w:r w:rsidRPr="0092690C">
              <w:rPr>
                <w:color w:val="1D1B1C"/>
                <w:sz w:val="20"/>
                <w:szCs w:val="20"/>
              </w:rPr>
              <w:t>110. The level of protection should be assessed</w:t>
            </w:r>
          </w:p>
          <w:p w14:paraId="0FB75134" w14:textId="517C13EE" w:rsidR="000E0465" w:rsidRPr="0092690C" w:rsidRDefault="000E0465" w:rsidP="0092690C">
            <w:pPr>
              <w:spacing w:line="276" w:lineRule="auto"/>
              <w:rPr>
                <w:color w:val="1D1B1C"/>
                <w:sz w:val="20"/>
                <w:szCs w:val="20"/>
              </w:rPr>
            </w:pPr>
            <w:r w:rsidRPr="0092690C">
              <w:rPr>
                <w:color w:val="1D1B1C"/>
                <w:sz w:val="20"/>
                <w:szCs w:val="20"/>
              </w:rPr>
              <w:t>for each transfer or category of transfers. Various elements of the transfer should be examined such as: the</w:t>
            </w:r>
            <w:r w:rsidR="00265575" w:rsidRPr="0092690C">
              <w:rPr>
                <w:color w:val="1D1B1C"/>
                <w:sz w:val="20"/>
                <w:szCs w:val="20"/>
              </w:rPr>
              <w:t xml:space="preserve"> </w:t>
            </w:r>
            <w:r w:rsidRPr="0092690C">
              <w:rPr>
                <w:color w:val="1D1B1C"/>
                <w:sz w:val="20"/>
                <w:szCs w:val="20"/>
              </w:rPr>
              <w:t>type of data; the purposes and duration of processing</w:t>
            </w:r>
            <w:r w:rsidR="00265575" w:rsidRPr="0092690C">
              <w:rPr>
                <w:color w:val="1D1B1C"/>
                <w:sz w:val="20"/>
                <w:szCs w:val="20"/>
              </w:rPr>
              <w:t xml:space="preserve"> </w:t>
            </w:r>
            <w:r w:rsidRPr="0092690C">
              <w:rPr>
                <w:color w:val="1D1B1C"/>
                <w:sz w:val="20"/>
                <w:szCs w:val="20"/>
              </w:rPr>
              <w:t>for which the data are transferred; the respect of the</w:t>
            </w:r>
            <w:r w:rsidR="00265575" w:rsidRPr="0092690C">
              <w:rPr>
                <w:color w:val="1D1B1C"/>
                <w:sz w:val="20"/>
                <w:szCs w:val="20"/>
              </w:rPr>
              <w:t xml:space="preserve"> </w:t>
            </w:r>
            <w:r w:rsidRPr="0092690C">
              <w:rPr>
                <w:color w:val="1D1B1C"/>
                <w:sz w:val="20"/>
                <w:szCs w:val="20"/>
              </w:rPr>
              <w:t xml:space="preserve">rule of law by the country of </w:t>
            </w:r>
            <w:bookmarkStart w:id="38" w:name="_Int_LkFICZfw"/>
            <w:r w:rsidRPr="0092690C">
              <w:rPr>
                <w:color w:val="1D1B1C"/>
                <w:sz w:val="20"/>
                <w:szCs w:val="20"/>
              </w:rPr>
              <w:t>final destination</w:t>
            </w:r>
            <w:bookmarkEnd w:id="38"/>
            <w:r w:rsidRPr="0092690C">
              <w:rPr>
                <w:color w:val="1D1B1C"/>
                <w:sz w:val="20"/>
                <w:szCs w:val="20"/>
              </w:rPr>
              <w:t>; the</w:t>
            </w:r>
            <w:r w:rsidR="00265575" w:rsidRPr="0092690C">
              <w:rPr>
                <w:color w:val="1D1B1C"/>
                <w:sz w:val="20"/>
                <w:szCs w:val="20"/>
              </w:rPr>
              <w:t xml:space="preserve"> </w:t>
            </w:r>
            <w:r w:rsidRPr="0092690C">
              <w:rPr>
                <w:color w:val="1D1B1C"/>
                <w:sz w:val="20"/>
                <w:szCs w:val="20"/>
              </w:rPr>
              <w:t>general and sectoral legal rules applicable in the State</w:t>
            </w:r>
          </w:p>
          <w:p w14:paraId="18F3A736" w14:textId="4A97CA20" w:rsidR="000E0465" w:rsidRPr="0092690C" w:rsidRDefault="000E0465" w:rsidP="0092690C">
            <w:pPr>
              <w:spacing w:line="276" w:lineRule="auto"/>
              <w:rPr>
                <w:sz w:val="20"/>
                <w:szCs w:val="20"/>
              </w:rPr>
            </w:pPr>
            <w:r w:rsidRPr="0092690C">
              <w:rPr>
                <w:color w:val="1D1B1C"/>
                <w:sz w:val="20"/>
                <w:szCs w:val="20"/>
              </w:rPr>
              <w:t xml:space="preserve">or </w:t>
            </w:r>
            <w:r w:rsidR="00265575" w:rsidRPr="0092690C">
              <w:rPr>
                <w:color w:val="1D1B1C"/>
                <w:sz w:val="20"/>
                <w:szCs w:val="20"/>
              </w:rPr>
              <w:t>organi</w:t>
            </w:r>
            <w:r w:rsidR="0092690C">
              <w:rPr>
                <w:color w:val="1D1B1C"/>
                <w:sz w:val="20"/>
                <w:szCs w:val="20"/>
              </w:rPr>
              <w:t>z</w:t>
            </w:r>
            <w:r w:rsidR="00265575" w:rsidRPr="0092690C">
              <w:rPr>
                <w:color w:val="1D1B1C"/>
                <w:sz w:val="20"/>
                <w:szCs w:val="20"/>
              </w:rPr>
              <w:t>ation</w:t>
            </w:r>
            <w:r w:rsidRPr="0092690C">
              <w:rPr>
                <w:color w:val="1D1B1C"/>
                <w:sz w:val="20"/>
                <w:szCs w:val="20"/>
              </w:rPr>
              <w:t xml:space="preserve"> in question; and the professional </w:t>
            </w:r>
            <w:r w:rsidR="00265575" w:rsidRPr="0092690C">
              <w:rPr>
                <w:color w:val="1D1B1C"/>
                <w:sz w:val="20"/>
                <w:szCs w:val="20"/>
              </w:rPr>
              <w:t>and security</w:t>
            </w:r>
            <w:r w:rsidRPr="0092690C">
              <w:rPr>
                <w:color w:val="1D1B1C"/>
                <w:sz w:val="20"/>
                <w:szCs w:val="20"/>
              </w:rPr>
              <w:t xml:space="preserve"> rules which apply there.</w:t>
            </w:r>
          </w:p>
        </w:tc>
      </w:tr>
      <w:tr w:rsidR="000E0465" w14:paraId="7608B2FB" w14:textId="77777777" w:rsidTr="0092690C">
        <w:tc>
          <w:tcPr>
            <w:tcW w:w="1790" w:type="dxa"/>
            <w:tcBorders>
              <w:top w:val="single" w:sz="8" w:space="0" w:color="000000"/>
              <w:right w:val="nil"/>
            </w:tcBorders>
            <w:shd w:val="clear" w:color="auto" w:fill="auto"/>
            <w:tcMar>
              <w:top w:w="100" w:type="dxa"/>
              <w:left w:w="100" w:type="dxa"/>
              <w:bottom w:w="100" w:type="dxa"/>
              <w:right w:w="100" w:type="dxa"/>
            </w:tcMar>
          </w:tcPr>
          <w:p w14:paraId="1C2253D5" w14:textId="77777777" w:rsidR="000E0465" w:rsidRPr="0092690C" w:rsidRDefault="000E0465" w:rsidP="0092690C">
            <w:pPr>
              <w:widowControl w:val="0"/>
              <w:rPr>
                <w:sz w:val="20"/>
                <w:szCs w:val="20"/>
              </w:rPr>
            </w:pPr>
            <w:r w:rsidRPr="0092690C">
              <w:rPr>
                <w:sz w:val="20"/>
                <w:szCs w:val="20"/>
              </w:rPr>
              <w:t xml:space="preserve">GDPR </w:t>
            </w:r>
          </w:p>
        </w:tc>
        <w:tc>
          <w:tcPr>
            <w:tcW w:w="3690" w:type="dxa"/>
            <w:tcBorders>
              <w:top w:val="single" w:sz="8" w:space="0" w:color="000000"/>
              <w:left w:val="nil"/>
              <w:right w:val="nil"/>
            </w:tcBorders>
            <w:shd w:val="clear" w:color="auto" w:fill="auto"/>
            <w:tcMar>
              <w:top w:w="100" w:type="dxa"/>
              <w:left w:w="100" w:type="dxa"/>
              <w:bottom w:w="100" w:type="dxa"/>
              <w:right w:w="100" w:type="dxa"/>
            </w:tcMar>
          </w:tcPr>
          <w:p w14:paraId="6BF6C255" w14:textId="77777777" w:rsidR="000E0465" w:rsidRPr="0092690C" w:rsidRDefault="000E0465" w:rsidP="0092690C">
            <w:pPr>
              <w:widowControl w:val="0"/>
              <w:rPr>
                <w:sz w:val="20"/>
                <w:szCs w:val="20"/>
              </w:rPr>
            </w:pPr>
            <w:r w:rsidRPr="0092690C">
              <w:rPr>
                <w:sz w:val="20"/>
                <w:szCs w:val="20"/>
              </w:rPr>
              <w:t>Recital 39</w:t>
            </w:r>
          </w:p>
        </w:tc>
        <w:tc>
          <w:tcPr>
            <w:tcW w:w="3880" w:type="dxa"/>
            <w:tcBorders>
              <w:top w:val="single" w:sz="8" w:space="0" w:color="000000"/>
              <w:left w:val="nil"/>
            </w:tcBorders>
            <w:shd w:val="clear" w:color="auto" w:fill="auto"/>
            <w:tcMar>
              <w:top w:w="100" w:type="dxa"/>
              <w:left w:w="100" w:type="dxa"/>
              <w:bottom w:w="100" w:type="dxa"/>
              <w:right w:w="100" w:type="dxa"/>
            </w:tcMar>
          </w:tcPr>
          <w:p w14:paraId="748A1A4E" w14:textId="77777777" w:rsidR="000E0465" w:rsidRPr="0092690C" w:rsidRDefault="000E0465" w:rsidP="0092690C">
            <w:pPr>
              <w:widowControl w:val="0"/>
              <w:spacing w:line="276" w:lineRule="auto"/>
              <w:rPr>
                <w:color w:val="020000"/>
                <w:sz w:val="20"/>
                <w:szCs w:val="20"/>
              </w:rPr>
            </w:pPr>
            <w:r w:rsidRPr="0092690C">
              <w:rPr>
                <w:color w:val="020000"/>
                <w:sz w:val="20"/>
                <w:szCs w:val="20"/>
              </w:rPr>
              <w:t>… Personal data should be processed in a</w:t>
            </w:r>
          </w:p>
          <w:p w14:paraId="7913574A" w14:textId="64F681AE" w:rsidR="000E0465" w:rsidRPr="0092690C" w:rsidRDefault="000E0465" w:rsidP="0092690C">
            <w:pPr>
              <w:widowControl w:val="0"/>
              <w:spacing w:line="276" w:lineRule="auto"/>
              <w:rPr>
                <w:sz w:val="20"/>
                <w:szCs w:val="20"/>
              </w:rPr>
            </w:pPr>
            <w:r w:rsidRPr="0092690C">
              <w:rPr>
                <w:color w:val="020000"/>
                <w:sz w:val="20"/>
                <w:szCs w:val="20"/>
              </w:rPr>
              <w:t xml:space="preserve">manner that ensures appropriate security and confidentiality of </w:t>
            </w:r>
            <w:bookmarkStart w:id="39" w:name="_Int_LQcHpcqJ"/>
            <w:r w:rsidRPr="0092690C">
              <w:rPr>
                <w:color w:val="020000"/>
                <w:sz w:val="20"/>
                <w:szCs w:val="20"/>
              </w:rPr>
              <w:t>the personal</w:t>
            </w:r>
            <w:bookmarkEnd w:id="39"/>
            <w:r w:rsidRPr="0092690C">
              <w:rPr>
                <w:color w:val="020000"/>
                <w:sz w:val="20"/>
                <w:szCs w:val="20"/>
              </w:rPr>
              <w:t xml:space="preserve"> data, including for preventing</w:t>
            </w:r>
            <w:r w:rsidR="00265575" w:rsidRPr="0092690C">
              <w:rPr>
                <w:color w:val="020000"/>
                <w:sz w:val="20"/>
                <w:szCs w:val="20"/>
              </w:rPr>
              <w:t xml:space="preserve"> </w:t>
            </w:r>
            <w:r w:rsidRPr="0092690C">
              <w:rPr>
                <w:color w:val="020000"/>
                <w:sz w:val="20"/>
                <w:szCs w:val="20"/>
              </w:rPr>
              <w:t>unauthori</w:t>
            </w:r>
            <w:r w:rsidR="0092690C">
              <w:rPr>
                <w:color w:val="020000"/>
                <w:sz w:val="20"/>
                <w:szCs w:val="20"/>
              </w:rPr>
              <w:t>z</w:t>
            </w:r>
            <w:r w:rsidRPr="0092690C">
              <w:rPr>
                <w:color w:val="020000"/>
                <w:sz w:val="20"/>
                <w:szCs w:val="20"/>
              </w:rPr>
              <w:t>ed access to or use of personal data and the equipment used for the processing</w:t>
            </w:r>
            <w:r w:rsidR="00265575" w:rsidRPr="0092690C">
              <w:rPr>
                <w:color w:val="020000"/>
                <w:sz w:val="20"/>
                <w:szCs w:val="20"/>
              </w:rPr>
              <w:t>.</w:t>
            </w:r>
          </w:p>
        </w:tc>
      </w:tr>
    </w:tbl>
    <w:p w14:paraId="78F1141F" w14:textId="15D50090" w:rsidR="009D437D" w:rsidRDefault="009D437D" w:rsidP="009D437D">
      <w:r>
        <w:tab/>
      </w:r>
      <w:r>
        <w:tab/>
      </w:r>
      <w:r>
        <w:tab/>
      </w:r>
      <w:r>
        <w:tab/>
      </w:r>
      <w:r>
        <w:tab/>
      </w:r>
      <w:r>
        <w:tab/>
      </w:r>
      <w:r>
        <w:tab/>
      </w:r>
      <w:r>
        <w:tab/>
      </w:r>
      <w:r>
        <w:tab/>
      </w:r>
      <w:r w:rsidRPr="00A74499">
        <w:rPr>
          <w:i/>
          <w:iCs/>
          <w:sz w:val="18"/>
          <w:szCs w:val="18"/>
        </w:rPr>
        <w:t xml:space="preserve">(table </w:t>
      </w:r>
      <w:r>
        <w:rPr>
          <w:i/>
          <w:iCs/>
          <w:sz w:val="18"/>
          <w:szCs w:val="18"/>
        </w:rPr>
        <w:t>12</w:t>
      </w:r>
      <w:r w:rsidRPr="00A74499">
        <w:rPr>
          <w:i/>
          <w:iCs/>
          <w:sz w:val="18"/>
          <w:szCs w:val="18"/>
        </w:rPr>
        <w:t xml:space="preserve"> contin</w:t>
      </w:r>
      <w:r>
        <w:rPr>
          <w:i/>
          <w:iCs/>
          <w:sz w:val="18"/>
          <w:szCs w:val="18"/>
        </w:rPr>
        <w:t>u</w:t>
      </w:r>
      <w:r w:rsidRPr="00A74499">
        <w:rPr>
          <w:i/>
          <w:iCs/>
          <w:sz w:val="18"/>
          <w:szCs w:val="18"/>
        </w:rPr>
        <w:t>ed on next page)</w:t>
      </w:r>
    </w:p>
    <w:p w14:paraId="4CDFC214" w14:textId="539DE44B" w:rsidR="009D437D" w:rsidRDefault="009D437D"/>
    <w:p w14:paraId="7109488D" w14:textId="77777777" w:rsidR="00EB5D7C" w:rsidRDefault="00EB5D7C"/>
    <w:p w14:paraId="7D92C9DA" w14:textId="046508AD" w:rsidR="009D437D" w:rsidRPr="001F73B5" w:rsidRDefault="005E1FFC" w:rsidP="001F73B5">
      <w:pPr>
        <w:rPr>
          <w:i/>
          <w:iCs/>
          <w:color w:val="2C3E50"/>
          <w:sz w:val="18"/>
          <w:szCs w:val="18"/>
        </w:rPr>
      </w:pPr>
      <w:r>
        <w:rPr>
          <w:i/>
          <w:iCs/>
          <w:color w:val="2C3E50"/>
          <w:sz w:val="18"/>
          <w:szCs w:val="18"/>
        </w:rPr>
        <w:lastRenderedPageBreak/>
        <w:t>Table 12. TPI 4 Legal and Standard References cont.</w:t>
      </w:r>
    </w:p>
    <w:tbl>
      <w:tblPr>
        <w:tblW w:w="9360" w:type="dxa"/>
        <w:tblBorders>
          <w:bottom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3690"/>
        <w:gridCol w:w="3880"/>
      </w:tblGrid>
      <w:tr w:rsidR="009D437D" w14:paraId="68C748D0" w14:textId="77777777" w:rsidTr="00075967">
        <w:trPr>
          <w:trHeight w:val="470"/>
        </w:trPr>
        <w:tc>
          <w:tcPr>
            <w:tcW w:w="1790" w:type="dxa"/>
            <w:tcBorders>
              <w:top w:val="single" w:sz="8" w:space="0" w:color="000000"/>
              <w:right w:val="nil"/>
            </w:tcBorders>
            <w:shd w:val="clear" w:color="auto" w:fill="auto"/>
            <w:tcMar>
              <w:top w:w="100" w:type="dxa"/>
              <w:left w:w="100" w:type="dxa"/>
              <w:bottom w:w="100" w:type="dxa"/>
              <w:right w:w="100" w:type="dxa"/>
            </w:tcMar>
          </w:tcPr>
          <w:p w14:paraId="5457A3AF" w14:textId="77777777" w:rsidR="009D437D" w:rsidRPr="0092690C" w:rsidRDefault="009D437D" w:rsidP="00075967">
            <w:pPr>
              <w:widowControl w:val="0"/>
              <w:rPr>
                <w:sz w:val="20"/>
                <w:szCs w:val="20"/>
              </w:rPr>
            </w:pPr>
            <w:r w:rsidRPr="0092690C">
              <w:rPr>
                <w:sz w:val="20"/>
                <w:szCs w:val="20"/>
              </w:rPr>
              <w:t>Instrument</w:t>
            </w:r>
          </w:p>
        </w:tc>
        <w:tc>
          <w:tcPr>
            <w:tcW w:w="3690" w:type="dxa"/>
            <w:tcBorders>
              <w:top w:val="single" w:sz="8" w:space="0" w:color="000000"/>
              <w:left w:val="nil"/>
              <w:right w:val="nil"/>
            </w:tcBorders>
            <w:shd w:val="clear" w:color="auto" w:fill="auto"/>
            <w:tcMar>
              <w:top w:w="100" w:type="dxa"/>
              <w:left w:w="100" w:type="dxa"/>
              <w:bottom w:w="100" w:type="dxa"/>
              <w:right w:w="100" w:type="dxa"/>
            </w:tcMar>
          </w:tcPr>
          <w:p w14:paraId="412F63F7" w14:textId="77777777" w:rsidR="009D437D" w:rsidRPr="0092690C" w:rsidRDefault="009D437D" w:rsidP="00075967">
            <w:pPr>
              <w:widowControl w:val="0"/>
              <w:rPr>
                <w:sz w:val="20"/>
                <w:szCs w:val="20"/>
              </w:rPr>
            </w:pPr>
            <w:r w:rsidRPr="0092690C">
              <w:rPr>
                <w:sz w:val="20"/>
                <w:szCs w:val="20"/>
              </w:rPr>
              <w:t>Reference</w:t>
            </w:r>
          </w:p>
        </w:tc>
        <w:tc>
          <w:tcPr>
            <w:tcW w:w="3880" w:type="dxa"/>
            <w:tcBorders>
              <w:top w:val="single" w:sz="8" w:space="0" w:color="000000"/>
              <w:left w:val="nil"/>
            </w:tcBorders>
            <w:shd w:val="clear" w:color="auto" w:fill="auto"/>
            <w:tcMar>
              <w:top w:w="100" w:type="dxa"/>
              <w:left w:w="100" w:type="dxa"/>
              <w:bottom w:w="100" w:type="dxa"/>
              <w:right w:w="100" w:type="dxa"/>
            </w:tcMar>
          </w:tcPr>
          <w:p w14:paraId="521ACA14" w14:textId="77777777" w:rsidR="009D437D" w:rsidRPr="0092690C" w:rsidRDefault="009D437D" w:rsidP="00075967">
            <w:pPr>
              <w:widowControl w:val="0"/>
              <w:rPr>
                <w:sz w:val="20"/>
                <w:szCs w:val="20"/>
              </w:rPr>
            </w:pPr>
            <w:r w:rsidRPr="0092690C">
              <w:rPr>
                <w:sz w:val="20"/>
                <w:szCs w:val="20"/>
              </w:rPr>
              <w:t>Text</w:t>
            </w:r>
          </w:p>
        </w:tc>
      </w:tr>
      <w:tr w:rsidR="009D437D" w14:paraId="350C59C1" w14:textId="77777777" w:rsidTr="00075967">
        <w:tc>
          <w:tcPr>
            <w:tcW w:w="1790" w:type="dxa"/>
            <w:tcBorders>
              <w:top w:val="single" w:sz="8" w:space="0" w:color="000000"/>
              <w:right w:val="nil"/>
            </w:tcBorders>
            <w:shd w:val="clear" w:color="auto" w:fill="auto"/>
            <w:tcMar>
              <w:top w:w="100" w:type="dxa"/>
              <w:left w:w="100" w:type="dxa"/>
              <w:bottom w:w="100" w:type="dxa"/>
              <w:right w:w="100" w:type="dxa"/>
            </w:tcMar>
          </w:tcPr>
          <w:p w14:paraId="04C8FB3C" w14:textId="77777777" w:rsidR="009D437D" w:rsidRPr="00EB5D7C" w:rsidRDefault="009D437D" w:rsidP="00075967">
            <w:pPr>
              <w:widowControl w:val="0"/>
              <w:rPr>
                <w:color w:val="000000" w:themeColor="text1"/>
                <w:sz w:val="20"/>
                <w:szCs w:val="20"/>
              </w:rPr>
            </w:pPr>
            <w:r w:rsidRPr="00EB5D7C">
              <w:rPr>
                <w:color w:val="000000" w:themeColor="text1"/>
                <w:sz w:val="20"/>
                <w:szCs w:val="20"/>
              </w:rPr>
              <w:t>Quebec Law 25/CAI Guidance</w:t>
            </w:r>
          </w:p>
        </w:tc>
        <w:tc>
          <w:tcPr>
            <w:tcW w:w="3690" w:type="dxa"/>
            <w:tcBorders>
              <w:top w:val="single" w:sz="8" w:space="0" w:color="000000"/>
              <w:left w:val="nil"/>
              <w:right w:val="nil"/>
            </w:tcBorders>
            <w:shd w:val="clear" w:color="auto" w:fill="auto"/>
            <w:tcMar>
              <w:top w:w="100" w:type="dxa"/>
              <w:left w:w="100" w:type="dxa"/>
              <w:bottom w:w="100" w:type="dxa"/>
              <w:right w:w="100" w:type="dxa"/>
            </w:tcMar>
          </w:tcPr>
          <w:p w14:paraId="2D5AEF7C" w14:textId="77777777" w:rsidR="009D437D" w:rsidRPr="00EB5D7C" w:rsidRDefault="009D437D" w:rsidP="00EB5D7C">
            <w:pPr>
              <w:spacing w:line="276" w:lineRule="auto"/>
              <w:rPr>
                <w:rFonts w:eastAsia="Arial" w:cs="Arial"/>
                <w:color w:val="000000" w:themeColor="text1"/>
                <w:sz w:val="20"/>
                <w:szCs w:val="20"/>
                <w:lang w:val="en-GB"/>
              </w:rPr>
            </w:pPr>
            <w:r w:rsidRPr="00EB5D7C">
              <w:rPr>
                <w:rFonts w:eastAsia="Arial" w:cs="Arial"/>
                <w:color w:val="000000" w:themeColor="text1"/>
                <w:sz w:val="20"/>
                <w:szCs w:val="20"/>
                <w:lang w:val="en-GB"/>
              </w:rPr>
              <w:t>Law 25 - 110 s12. (</w:t>
            </w:r>
            <w:proofErr w:type="gramStart"/>
            <w:r w:rsidRPr="00EB5D7C">
              <w:rPr>
                <w:rFonts w:eastAsia="Arial" w:cs="Arial"/>
                <w:color w:val="000000" w:themeColor="text1"/>
                <w:sz w:val="20"/>
                <w:szCs w:val="20"/>
                <w:lang w:val="en-GB"/>
              </w:rPr>
              <w:t>3)|</w:t>
            </w:r>
            <w:proofErr w:type="gramEnd"/>
            <w:r w:rsidRPr="00EB5D7C">
              <w:rPr>
                <w:color w:val="000000" w:themeColor="text1"/>
                <w:sz w:val="20"/>
                <w:szCs w:val="20"/>
              </w:rPr>
              <w:br/>
            </w:r>
            <w:r w:rsidRPr="00EB5D7C">
              <w:rPr>
                <w:rFonts w:eastAsia="Arial" w:cs="Arial"/>
                <w:color w:val="000000" w:themeColor="text1"/>
                <w:sz w:val="20"/>
                <w:szCs w:val="20"/>
                <w:lang w:val="en-GB"/>
              </w:rPr>
              <w:t>Law 25 – 144 “(6) the other measures taken to ensure the confidentiality and security of personal information in accordance with this Act.</w:t>
            </w:r>
            <w:proofErr w:type="gramStart"/>
            <w:r w:rsidRPr="00EB5D7C">
              <w:rPr>
                <w:rFonts w:eastAsia="Arial" w:cs="Arial"/>
                <w:color w:val="000000" w:themeColor="text1"/>
                <w:sz w:val="20"/>
                <w:szCs w:val="20"/>
                <w:lang w:val="en-GB"/>
              </w:rPr>
              <w:t>”;</w:t>
            </w:r>
            <w:proofErr w:type="gramEnd"/>
          </w:p>
          <w:p w14:paraId="14A234DA" w14:textId="77777777" w:rsidR="009D437D" w:rsidRPr="00EB5D7C" w:rsidRDefault="009D437D" w:rsidP="00EB5D7C">
            <w:pPr>
              <w:spacing w:line="276" w:lineRule="auto"/>
              <w:rPr>
                <w:rFonts w:eastAsia="Arial" w:cs="Arial"/>
                <w:color w:val="000000" w:themeColor="text1"/>
                <w:sz w:val="20"/>
                <w:szCs w:val="20"/>
                <w:lang w:val="en-GB"/>
              </w:rPr>
            </w:pPr>
            <w:r w:rsidRPr="00EB5D7C">
              <w:rPr>
                <w:rFonts w:eastAsia="Arial" w:cs="Arial"/>
                <w:color w:val="000000" w:themeColor="text1"/>
                <w:sz w:val="20"/>
                <w:szCs w:val="20"/>
                <w:lang w:val="en-GB"/>
              </w:rPr>
              <w:t>Law 25 v- 159(4) does not take the security measures necessary to ensure the protection of the personal information in accordance with section 10;</w:t>
            </w:r>
          </w:p>
        </w:tc>
        <w:tc>
          <w:tcPr>
            <w:tcW w:w="3880" w:type="dxa"/>
            <w:tcBorders>
              <w:top w:val="single" w:sz="8" w:space="0" w:color="000000"/>
              <w:left w:val="nil"/>
            </w:tcBorders>
            <w:shd w:val="clear" w:color="auto" w:fill="auto"/>
            <w:tcMar>
              <w:top w:w="100" w:type="dxa"/>
              <w:left w:w="100" w:type="dxa"/>
              <w:bottom w:w="100" w:type="dxa"/>
              <w:right w:w="100" w:type="dxa"/>
            </w:tcMar>
          </w:tcPr>
          <w:p w14:paraId="2DD249A4" w14:textId="77777777" w:rsidR="009D437D" w:rsidRPr="00EB5D7C" w:rsidRDefault="009D437D" w:rsidP="00EB5D7C">
            <w:pPr>
              <w:spacing w:line="276" w:lineRule="auto"/>
              <w:rPr>
                <w:rFonts w:eastAsia="Arial" w:cs="Arial"/>
                <w:color w:val="000000" w:themeColor="text1"/>
                <w:sz w:val="20"/>
                <w:szCs w:val="20"/>
                <w:lang w:val="en-GB"/>
              </w:rPr>
            </w:pPr>
            <w:r w:rsidRPr="00EB5D7C">
              <w:rPr>
                <w:rFonts w:eastAsia="Arial" w:cs="Arial"/>
                <w:color w:val="000000" w:themeColor="text1"/>
                <w:sz w:val="20"/>
                <w:szCs w:val="20"/>
                <w:lang w:val="en-GB"/>
              </w:rPr>
              <w:t>if its use is necessary for the purpose of preventing and detecting fraud or of assessing and improving protection and security measures;</w:t>
            </w:r>
          </w:p>
          <w:p w14:paraId="775FE620" w14:textId="77777777" w:rsidR="009D437D" w:rsidRPr="00EB5D7C" w:rsidRDefault="009D437D" w:rsidP="00EB5D7C">
            <w:pPr>
              <w:spacing w:line="276" w:lineRule="auto"/>
              <w:rPr>
                <w:rFonts w:eastAsia="Arial" w:cs="Arial"/>
                <w:color w:val="000000" w:themeColor="text1"/>
                <w:sz w:val="20"/>
                <w:szCs w:val="20"/>
              </w:rPr>
            </w:pPr>
          </w:p>
        </w:tc>
      </w:tr>
      <w:tr w:rsidR="009D437D" w14:paraId="03134DCC" w14:textId="77777777" w:rsidTr="00075967">
        <w:tc>
          <w:tcPr>
            <w:tcW w:w="1790" w:type="dxa"/>
            <w:tcBorders>
              <w:top w:val="single" w:sz="8" w:space="0" w:color="000000"/>
              <w:right w:val="nil"/>
            </w:tcBorders>
            <w:shd w:val="clear" w:color="auto" w:fill="auto"/>
            <w:tcMar>
              <w:top w:w="100" w:type="dxa"/>
              <w:left w:w="100" w:type="dxa"/>
              <w:bottom w:w="100" w:type="dxa"/>
              <w:right w:w="100" w:type="dxa"/>
            </w:tcMar>
          </w:tcPr>
          <w:p w14:paraId="35DC0BD1" w14:textId="77777777" w:rsidR="009D437D" w:rsidRPr="0092690C" w:rsidRDefault="009D437D" w:rsidP="00075967">
            <w:pPr>
              <w:widowControl w:val="0"/>
              <w:rPr>
                <w:sz w:val="20"/>
                <w:szCs w:val="20"/>
              </w:rPr>
            </w:pPr>
            <w:r w:rsidRPr="0092690C">
              <w:rPr>
                <w:sz w:val="20"/>
                <w:szCs w:val="20"/>
              </w:rPr>
              <w:t>ISO/IEC 29100</w:t>
            </w:r>
          </w:p>
        </w:tc>
        <w:tc>
          <w:tcPr>
            <w:tcW w:w="3690" w:type="dxa"/>
            <w:tcBorders>
              <w:top w:val="single" w:sz="8" w:space="0" w:color="000000"/>
              <w:left w:val="nil"/>
              <w:right w:val="nil"/>
            </w:tcBorders>
            <w:shd w:val="clear" w:color="auto" w:fill="auto"/>
            <w:tcMar>
              <w:top w:w="100" w:type="dxa"/>
              <w:left w:w="100" w:type="dxa"/>
              <w:bottom w:w="100" w:type="dxa"/>
              <w:right w:w="100" w:type="dxa"/>
            </w:tcMar>
          </w:tcPr>
          <w:p w14:paraId="55BE2E6F" w14:textId="77777777" w:rsidR="009D437D" w:rsidRPr="0092690C" w:rsidRDefault="009D437D" w:rsidP="00075967">
            <w:pPr>
              <w:widowControl w:val="0"/>
              <w:spacing w:line="276" w:lineRule="auto"/>
              <w:rPr>
                <w:rFonts w:eastAsia="Arial" w:cs="Arial"/>
                <w:bCs/>
                <w:sz w:val="20"/>
                <w:szCs w:val="20"/>
              </w:rPr>
            </w:pPr>
            <w:r w:rsidRPr="0092690C">
              <w:rPr>
                <w:rFonts w:eastAsia="Arial" w:cs="Arial"/>
                <w:bCs/>
                <w:sz w:val="20"/>
                <w:szCs w:val="20"/>
              </w:rPr>
              <w:t>6.11 Information security</w:t>
            </w:r>
          </w:p>
          <w:p w14:paraId="7C084C89" w14:textId="77777777" w:rsidR="009D437D" w:rsidRPr="0092690C" w:rsidRDefault="009D437D" w:rsidP="00075967">
            <w:pPr>
              <w:widowControl w:val="0"/>
              <w:spacing w:line="276" w:lineRule="auto"/>
              <w:rPr>
                <w:rFonts w:eastAsia="Arial" w:cs="Arial"/>
                <w:bCs/>
                <w:sz w:val="20"/>
                <w:szCs w:val="20"/>
              </w:rPr>
            </w:pPr>
            <w:r w:rsidRPr="0092690C">
              <w:rPr>
                <w:rFonts w:eastAsia="Arial" w:cs="Arial"/>
                <w:bCs/>
                <w:sz w:val="20"/>
                <w:szCs w:val="20"/>
              </w:rPr>
              <w:t>Adhering to the information security principle means:</w:t>
            </w:r>
          </w:p>
          <w:p w14:paraId="656D1968" w14:textId="77777777" w:rsidR="009D437D" w:rsidRPr="0092690C" w:rsidRDefault="009D437D" w:rsidP="00075967">
            <w:pPr>
              <w:widowControl w:val="0"/>
              <w:rPr>
                <w:bCs/>
                <w:sz w:val="20"/>
                <w:szCs w:val="20"/>
              </w:rPr>
            </w:pPr>
          </w:p>
        </w:tc>
        <w:tc>
          <w:tcPr>
            <w:tcW w:w="3880" w:type="dxa"/>
            <w:tcBorders>
              <w:top w:val="single" w:sz="8" w:space="0" w:color="000000"/>
              <w:left w:val="nil"/>
            </w:tcBorders>
            <w:shd w:val="clear" w:color="auto" w:fill="auto"/>
            <w:tcMar>
              <w:top w:w="100" w:type="dxa"/>
              <w:left w:w="100" w:type="dxa"/>
              <w:bottom w:w="100" w:type="dxa"/>
              <w:right w:w="100" w:type="dxa"/>
            </w:tcMar>
          </w:tcPr>
          <w:p w14:paraId="25748B5E" w14:textId="77777777" w:rsidR="009D437D" w:rsidRPr="0092690C" w:rsidRDefault="009D437D" w:rsidP="00075967">
            <w:pPr>
              <w:widowControl w:val="0"/>
              <w:spacing w:line="276" w:lineRule="auto"/>
              <w:rPr>
                <w:sz w:val="20"/>
                <w:szCs w:val="20"/>
              </w:rPr>
            </w:pPr>
            <w:r w:rsidRPr="0092690C">
              <w:rPr>
                <w:rFonts w:eastAsia="Arial" w:cs="Arial"/>
                <w:sz w:val="20"/>
                <w:szCs w:val="20"/>
              </w:rPr>
              <w:t xml:space="preserve">Implementing controls in proportion to the likelihood and severity of the potential consequences, the sensitivity of the PII, the number of PII principals that might be affected, and the context in which it is held; - limiting </w:t>
            </w:r>
          </w:p>
        </w:tc>
      </w:tr>
    </w:tbl>
    <w:p w14:paraId="21DBC813" w14:textId="051B2623" w:rsidR="000E0465" w:rsidRDefault="000E0465">
      <w:pPr>
        <w:rPr>
          <w:rFonts w:eastAsiaTheme="majorEastAsia" w:cs="Arial"/>
          <w:b/>
          <w:bCs/>
          <w:color w:val="000000" w:themeColor="text1"/>
          <w:sz w:val="32"/>
          <w:szCs w:val="32"/>
        </w:rPr>
      </w:pPr>
      <w:r>
        <w:br w:type="page"/>
      </w:r>
    </w:p>
    <w:p w14:paraId="375EDDDE" w14:textId="3220A044" w:rsidR="00EF7595" w:rsidRPr="0092690C" w:rsidRDefault="000E0465" w:rsidP="0092690C">
      <w:pPr>
        <w:pStyle w:val="Heading1"/>
        <w:spacing w:line="240" w:lineRule="auto"/>
      </w:pPr>
      <w:bookmarkStart w:id="40" w:name="_Toc193376363"/>
      <w:r w:rsidRPr="0092690C">
        <w:lastRenderedPageBreak/>
        <w:t>7</w:t>
      </w:r>
      <w:r w:rsidR="00EF7595" w:rsidRPr="0092690C">
        <w:t xml:space="preserve">. </w:t>
      </w:r>
      <w:r w:rsidRPr="0092690C">
        <w:t>Summary</w:t>
      </w:r>
      <w:bookmarkEnd w:id="40"/>
      <w:r w:rsidR="00EF7595" w:rsidRPr="0092690C">
        <w:t xml:space="preserve"> </w:t>
      </w:r>
    </w:p>
    <w:p w14:paraId="4D7254C1" w14:textId="77777777" w:rsidR="00EF7595" w:rsidRPr="009348C9" w:rsidRDefault="00EF7595" w:rsidP="00EF7595">
      <w:pPr>
        <w:rPr>
          <w:szCs w:val="22"/>
        </w:rPr>
      </w:pPr>
      <w:r>
        <w:rPr>
          <w:noProof/>
          <w:color w:val="000000" w:themeColor="text1"/>
        </w:rPr>
        <mc:AlternateContent>
          <mc:Choice Requires="wps">
            <w:drawing>
              <wp:anchor distT="0" distB="0" distL="114300" distR="114300" simplePos="0" relativeHeight="251671552" behindDoc="0" locked="0" layoutInCell="1" allowOverlap="1" wp14:anchorId="7D0EC873" wp14:editId="3B2CCFC0">
                <wp:simplePos x="0" y="0"/>
                <wp:positionH relativeFrom="column">
                  <wp:posOffset>-59690</wp:posOffset>
                </wp:positionH>
                <wp:positionV relativeFrom="paragraph">
                  <wp:posOffset>50343</wp:posOffset>
                </wp:positionV>
                <wp:extent cx="5943600" cy="0"/>
                <wp:effectExtent l="0" t="0" r="12700" b="12700"/>
                <wp:wrapNone/>
                <wp:docPr id="2102791402"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A48512">
              <v:line id="Straight Connector 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7pt,3.95pt" to="463.3pt,3.95pt" w14:anchorId="097F6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">
                <v:stroke joinstyle="miter"/>
              </v:line>
            </w:pict>
          </mc:Fallback>
        </mc:AlternateContent>
      </w:r>
    </w:p>
    <w:p w14:paraId="3CE77C4F" w14:textId="21260893" w:rsidR="000E0465" w:rsidRDefault="000E0465" w:rsidP="000E0465">
      <w:r>
        <w:t xml:space="preserve">This ANCR </w:t>
      </w:r>
      <w:r w:rsidR="00265575">
        <w:t>WG Recommendation</w:t>
      </w:r>
      <w:r>
        <w:t xml:space="preserve"> provides a method to assess the sovereignty and governance of digital identification systems, for valid consent in 4 ways, with key metric indicators to signify compliance. It introduces a Transparency Performance Indicators (TPIs) methodology to generate a report on the state of transparency. It can be further used, independently, to control identification data with the application of privacy rights. The report </w:t>
      </w:r>
      <w:r w:rsidR="3C71C6D3">
        <w:t>generated</w:t>
      </w:r>
      <w:r>
        <w:t xml:space="preserve"> can be reused by the PII Principal, as a PII Controller transparency record, and sent back to the Controller, to establish a common state of understanding of data governance, and access to digital identity privacy rights</w:t>
      </w:r>
      <w:r w:rsidR="37816F63">
        <w:t xml:space="preserve">. </w:t>
      </w:r>
      <w:r w:rsidR="55531969">
        <w:t>The recommendation’s objective is to establish with this report, particularly the use of TPIs to provide a standard method of recording digital transparency, critical to governance and its enforcement.</w:t>
      </w:r>
    </w:p>
    <w:p w14:paraId="1798B3D9" w14:textId="77777777" w:rsidR="000E0465" w:rsidRDefault="000E0465" w:rsidP="000E0465"/>
    <w:p w14:paraId="353E867F" w14:textId="06BE5AD0" w:rsidR="00EF7595" w:rsidRDefault="00265575">
      <w:r>
        <w:t>This version</w:t>
      </w:r>
      <w:r w:rsidR="000E0465">
        <w:t xml:space="preserve"> 1.0 report is the first step; we look forward to its continuing </w:t>
      </w:r>
      <w:r w:rsidR="1E3491A7">
        <w:t>evolution.</w:t>
      </w:r>
    </w:p>
    <w:p w14:paraId="20BD362F" w14:textId="77777777" w:rsidR="0092690C" w:rsidRDefault="0092690C">
      <w:pPr>
        <w:spacing w:line="240" w:lineRule="auto"/>
        <w:rPr>
          <w:rFonts w:eastAsiaTheme="majorEastAsia" w:cs="Arial"/>
          <w:b/>
          <w:bCs/>
          <w:color w:val="2C3E50"/>
          <w:sz w:val="32"/>
          <w:szCs w:val="32"/>
        </w:rPr>
      </w:pPr>
      <w:r>
        <w:rPr>
          <w:color w:val="2C3E50"/>
        </w:rPr>
        <w:br w:type="page"/>
      </w:r>
    </w:p>
    <w:p w14:paraId="326F6380" w14:textId="16ACB036" w:rsidR="00EF7595" w:rsidRDefault="000E0465" w:rsidP="00CD0E29">
      <w:pPr>
        <w:pStyle w:val="Heading1"/>
        <w:spacing w:line="240" w:lineRule="auto"/>
      </w:pPr>
      <w:bookmarkStart w:id="41" w:name="_Toc193376364"/>
      <w:r w:rsidRPr="00CD0E29">
        <w:lastRenderedPageBreak/>
        <w:t>8</w:t>
      </w:r>
      <w:r w:rsidR="00EF7595" w:rsidRPr="00CD0E29">
        <w:t>.</w:t>
      </w:r>
      <w:r w:rsidR="00EF7595">
        <w:t xml:space="preserve"> </w:t>
      </w:r>
      <w:r>
        <w:t xml:space="preserve">Appendix A: PII Controller </w:t>
      </w:r>
      <w:r w:rsidR="134F850B">
        <w:t>I</w:t>
      </w:r>
      <w:r>
        <w:t xml:space="preserve">dentification </w:t>
      </w:r>
      <w:r w:rsidR="6D259129">
        <w:t>R</w:t>
      </w:r>
      <w:r>
        <w:t>ecord</w:t>
      </w:r>
      <w:bookmarkEnd w:id="41"/>
      <w:r w:rsidR="00EF7595">
        <w:t xml:space="preserve"> </w:t>
      </w:r>
    </w:p>
    <w:p w14:paraId="4C9D5FD8" w14:textId="5F3C9344" w:rsidR="002E3621" w:rsidRDefault="00EF7595" w:rsidP="00564F90">
      <w:pPr>
        <w:rPr>
          <w:szCs w:val="22"/>
        </w:rPr>
      </w:pPr>
      <w:r>
        <w:rPr>
          <w:noProof/>
          <w:color w:val="000000" w:themeColor="text1"/>
        </w:rPr>
        <mc:AlternateContent>
          <mc:Choice Requires="wps">
            <w:drawing>
              <wp:anchor distT="0" distB="0" distL="114300" distR="114300" simplePos="0" relativeHeight="251675648" behindDoc="0" locked="0" layoutInCell="1" allowOverlap="1" wp14:anchorId="743E4E6D" wp14:editId="1553AB0E">
                <wp:simplePos x="0" y="0"/>
                <wp:positionH relativeFrom="column">
                  <wp:posOffset>-59690</wp:posOffset>
                </wp:positionH>
                <wp:positionV relativeFrom="paragraph">
                  <wp:posOffset>50343</wp:posOffset>
                </wp:positionV>
                <wp:extent cx="5943600" cy="0"/>
                <wp:effectExtent l="0" t="0" r="12700" b="12700"/>
                <wp:wrapNone/>
                <wp:docPr id="188519690"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2F8EA5">
              <v:line id="Straight Connector 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7pt,3.95pt" to="463.3pt,3.95pt" w14:anchorId="22931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">
                <v:stroke joinstyle="miter"/>
              </v:line>
            </w:pict>
          </mc:Fallback>
        </mc:AlternateContent>
      </w:r>
    </w:p>
    <w:p w14:paraId="4715D524" w14:textId="05DEFFE3" w:rsidR="00564F90" w:rsidRPr="00564F90" w:rsidRDefault="00564F90" w:rsidP="00AA4E85">
      <w:pPr>
        <w:pStyle w:val="Caption"/>
      </w:pPr>
      <w:bookmarkStart w:id="42" w:name="_Toc193376380"/>
      <w:r w:rsidRPr="009D437D">
        <w:t xml:space="preserve">Table A. </w:t>
      </w:r>
      <w:fldSimple w:instr=" SEQ Table_A. \* ARABIC ">
        <w:r w:rsidRPr="009D437D">
          <w:rPr>
            <w:noProof/>
          </w:rPr>
          <w:t>1</w:t>
        </w:r>
      </w:fldSimple>
      <w:r w:rsidRPr="009D437D">
        <w:t xml:space="preserve"> </w:t>
      </w:r>
      <w:r w:rsidR="00CA1AAD" w:rsidRPr="009D437D">
        <w:t>PII</w:t>
      </w:r>
      <w:r w:rsidR="00CA1AAD">
        <w:t xml:space="preserve"> Controller </w:t>
      </w:r>
      <w:r w:rsidR="00CA1AAD" w:rsidRPr="00AA4E85">
        <w:t>Identification</w:t>
      </w:r>
      <w:r w:rsidR="00CA1AAD">
        <w:t xml:space="preserve"> Record Fields</w:t>
      </w:r>
      <w:bookmarkEnd w:id="42"/>
    </w:p>
    <w:tbl>
      <w:tblPr>
        <w:tblW w:w="10260" w:type="dxa"/>
        <w:tblInd w:w="-455" w:type="dxa"/>
        <w:tblBorders>
          <w:bottom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900"/>
        <w:gridCol w:w="2435"/>
        <w:gridCol w:w="1395"/>
        <w:gridCol w:w="2610"/>
        <w:gridCol w:w="1380"/>
        <w:gridCol w:w="1540"/>
      </w:tblGrid>
      <w:tr w:rsidR="000E0465" w:rsidRPr="00CD0E29" w14:paraId="3D622118" w14:textId="77777777" w:rsidTr="00A018BC">
        <w:trPr>
          <w:trHeight w:val="367"/>
        </w:trPr>
        <w:tc>
          <w:tcPr>
            <w:tcW w:w="900" w:type="dxa"/>
            <w:tcBorders>
              <w:top w:val="single" w:sz="4" w:space="0" w:color="000000" w:themeColor="text1"/>
              <w:right w:val="nil"/>
            </w:tcBorders>
            <w:tcMar>
              <w:top w:w="100" w:type="dxa"/>
              <w:left w:w="100" w:type="dxa"/>
              <w:bottom w:w="100" w:type="dxa"/>
              <w:right w:w="100" w:type="dxa"/>
            </w:tcMar>
          </w:tcPr>
          <w:p w14:paraId="0EEF7202" w14:textId="36001BDC" w:rsidR="000E0465" w:rsidRPr="00CD0E29" w:rsidRDefault="000E0465" w:rsidP="00CD0E29">
            <w:pPr>
              <w:jc w:val="center"/>
              <w:rPr>
                <w:rFonts w:cs="Arial"/>
                <w:sz w:val="20"/>
                <w:szCs w:val="20"/>
              </w:rPr>
            </w:pPr>
            <w:r w:rsidRPr="00CD0E29">
              <w:rPr>
                <w:rFonts w:cs="Arial"/>
                <w:sz w:val="20"/>
                <w:szCs w:val="20"/>
              </w:rPr>
              <w:t>Field #</w:t>
            </w:r>
          </w:p>
        </w:tc>
        <w:tc>
          <w:tcPr>
            <w:tcW w:w="2435" w:type="dxa"/>
            <w:tcBorders>
              <w:top w:val="single" w:sz="4" w:space="0" w:color="000000" w:themeColor="text1"/>
              <w:left w:val="nil"/>
              <w:right w:val="nil"/>
            </w:tcBorders>
            <w:tcMar>
              <w:top w:w="100" w:type="dxa"/>
              <w:left w:w="100" w:type="dxa"/>
              <w:bottom w:w="100" w:type="dxa"/>
              <w:right w:w="100" w:type="dxa"/>
            </w:tcMar>
          </w:tcPr>
          <w:p w14:paraId="12F5688F" w14:textId="66D36AC5" w:rsidR="000E0465" w:rsidRPr="00CD0E29" w:rsidRDefault="000E0465" w:rsidP="00CD0E29">
            <w:pPr>
              <w:rPr>
                <w:rFonts w:cs="Arial"/>
                <w:sz w:val="20"/>
                <w:szCs w:val="20"/>
              </w:rPr>
            </w:pPr>
            <w:r w:rsidRPr="00CD0E29">
              <w:rPr>
                <w:rFonts w:cs="Arial"/>
                <w:sz w:val="20"/>
                <w:szCs w:val="20"/>
              </w:rPr>
              <w:t>Controller ID Object</w:t>
            </w:r>
          </w:p>
        </w:tc>
        <w:tc>
          <w:tcPr>
            <w:tcW w:w="1395" w:type="dxa"/>
            <w:tcBorders>
              <w:top w:val="single" w:sz="4" w:space="0" w:color="000000" w:themeColor="text1"/>
              <w:left w:val="nil"/>
              <w:right w:val="nil"/>
            </w:tcBorders>
            <w:tcMar>
              <w:top w:w="100" w:type="dxa"/>
              <w:left w:w="100" w:type="dxa"/>
              <w:bottom w:w="100" w:type="dxa"/>
              <w:right w:w="100" w:type="dxa"/>
            </w:tcMar>
          </w:tcPr>
          <w:p w14:paraId="6BB8E168" w14:textId="2C061701" w:rsidR="000E0465" w:rsidRPr="00CD0E29" w:rsidRDefault="000E0465" w:rsidP="00CD0E29">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2EAC3A1C" w14:textId="148277B9" w:rsidR="000E0465" w:rsidRPr="00CD0E29" w:rsidRDefault="000E0465" w:rsidP="00CD0E29">
            <w:pPr>
              <w:jc w:val="center"/>
              <w:rPr>
                <w:rFonts w:cs="Arial"/>
                <w:sz w:val="20"/>
                <w:szCs w:val="20"/>
              </w:rPr>
            </w:pPr>
            <w:proofErr w:type="spellStart"/>
            <w:r w:rsidRPr="00CD0E29">
              <w:rPr>
                <w:rFonts w:cs="Arial"/>
                <w:sz w:val="20"/>
                <w:szCs w:val="20"/>
              </w:rPr>
              <w:t>controller_id_object</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203E0A3B" w14:textId="2EA73C0F" w:rsidR="000E0465" w:rsidRPr="00CD0E29" w:rsidRDefault="000E0465" w:rsidP="00CD0E29">
            <w:pPr>
              <w:jc w:val="center"/>
              <w:rPr>
                <w:rFonts w:cs="Arial"/>
                <w:sz w:val="20"/>
                <w:szCs w:val="20"/>
              </w:rPr>
            </w:pPr>
            <w:r w:rsidRPr="00CD0E29">
              <w:rPr>
                <w:rFonts w:cs="Arial"/>
                <w:sz w:val="20"/>
                <w:szCs w:val="20"/>
              </w:rPr>
              <w:t>_</w:t>
            </w:r>
          </w:p>
        </w:tc>
        <w:tc>
          <w:tcPr>
            <w:tcW w:w="1540" w:type="dxa"/>
            <w:tcBorders>
              <w:top w:val="single" w:sz="4" w:space="0" w:color="000000" w:themeColor="text1"/>
              <w:left w:val="nil"/>
            </w:tcBorders>
            <w:tcMar>
              <w:top w:w="100" w:type="dxa"/>
              <w:left w:w="100" w:type="dxa"/>
              <w:bottom w:w="100" w:type="dxa"/>
              <w:right w:w="100" w:type="dxa"/>
            </w:tcMar>
          </w:tcPr>
          <w:p w14:paraId="071B4CE8" w14:textId="07D8F119" w:rsidR="000E0465" w:rsidRPr="00CD0E29" w:rsidRDefault="000E0465" w:rsidP="00CD0E29">
            <w:pPr>
              <w:jc w:val="center"/>
              <w:rPr>
                <w:rFonts w:cs="Arial"/>
                <w:sz w:val="20"/>
                <w:szCs w:val="20"/>
              </w:rPr>
            </w:pPr>
            <w:r w:rsidRPr="00CD0E29">
              <w:rPr>
                <w:rFonts w:cs="Arial"/>
                <w:sz w:val="20"/>
                <w:szCs w:val="20"/>
              </w:rPr>
              <w:t>Required</w:t>
            </w:r>
          </w:p>
        </w:tc>
      </w:tr>
      <w:tr w:rsidR="000E0465" w:rsidRPr="00CD0E29" w14:paraId="519BBE00" w14:textId="77777777" w:rsidTr="00A018BC">
        <w:trPr>
          <w:trHeight w:val="781"/>
        </w:trPr>
        <w:tc>
          <w:tcPr>
            <w:tcW w:w="900" w:type="dxa"/>
            <w:tcBorders>
              <w:top w:val="single" w:sz="4" w:space="0" w:color="000000" w:themeColor="text1"/>
              <w:right w:val="nil"/>
            </w:tcBorders>
            <w:tcMar>
              <w:top w:w="100" w:type="dxa"/>
              <w:left w:w="100" w:type="dxa"/>
              <w:bottom w:w="100" w:type="dxa"/>
              <w:right w:w="100" w:type="dxa"/>
            </w:tcMar>
          </w:tcPr>
          <w:p w14:paraId="789C7420" w14:textId="00A38125" w:rsidR="000E0465" w:rsidRPr="00CD0E29" w:rsidRDefault="000E0465" w:rsidP="00CD0E29">
            <w:pPr>
              <w:rPr>
                <w:rFonts w:cs="Arial"/>
                <w:sz w:val="20"/>
                <w:szCs w:val="20"/>
              </w:rPr>
            </w:pPr>
            <w:r w:rsidRPr="00CD0E29">
              <w:rPr>
                <w:rFonts w:cs="Arial"/>
                <w:sz w:val="20"/>
                <w:szCs w:val="20"/>
              </w:rPr>
              <w:t xml:space="preserve"> 1</w:t>
            </w:r>
          </w:p>
        </w:tc>
        <w:tc>
          <w:tcPr>
            <w:tcW w:w="2435" w:type="dxa"/>
            <w:tcBorders>
              <w:top w:val="single" w:sz="4" w:space="0" w:color="000000" w:themeColor="text1"/>
              <w:left w:val="nil"/>
              <w:right w:val="nil"/>
            </w:tcBorders>
            <w:tcMar>
              <w:top w:w="100" w:type="dxa"/>
              <w:left w:w="100" w:type="dxa"/>
              <w:bottom w:w="100" w:type="dxa"/>
              <w:right w:w="100" w:type="dxa"/>
            </w:tcMar>
          </w:tcPr>
          <w:p w14:paraId="251FEABC" w14:textId="1D96018B" w:rsidR="000E0465" w:rsidRPr="00CD0E29" w:rsidRDefault="000E0465" w:rsidP="00CD0E29">
            <w:pPr>
              <w:rPr>
                <w:rFonts w:cs="Arial"/>
                <w:sz w:val="20"/>
                <w:szCs w:val="20"/>
              </w:rPr>
            </w:pPr>
            <w:r w:rsidRPr="00CD0E29">
              <w:rPr>
                <w:rFonts w:cs="Arial"/>
                <w:sz w:val="20"/>
                <w:szCs w:val="20"/>
              </w:rPr>
              <w:t>Capture presentation of PII Controller Identity \</w:t>
            </w:r>
          </w:p>
        </w:tc>
        <w:tc>
          <w:tcPr>
            <w:tcW w:w="1395" w:type="dxa"/>
            <w:tcBorders>
              <w:top w:val="single" w:sz="4" w:space="0" w:color="000000" w:themeColor="text1"/>
              <w:left w:val="nil"/>
              <w:right w:val="nil"/>
            </w:tcBorders>
            <w:tcMar>
              <w:top w:w="100" w:type="dxa"/>
              <w:left w:w="100" w:type="dxa"/>
              <w:bottom w:w="100" w:type="dxa"/>
              <w:right w:w="100" w:type="dxa"/>
            </w:tcMar>
          </w:tcPr>
          <w:p w14:paraId="547CF28E" w14:textId="2C5C1E9F" w:rsidR="000E0465" w:rsidRPr="00CD0E29" w:rsidRDefault="000E0465" w:rsidP="00CD0E29">
            <w:pPr>
              <w:jc w:val="center"/>
              <w:rPr>
                <w:rFonts w:cs="Arial"/>
                <w:sz w:val="20"/>
                <w:szCs w:val="20"/>
              </w:rPr>
            </w:pPr>
            <w:r w:rsidRPr="00CD0E29">
              <w:rPr>
                <w:rFonts w:cs="Arial"/>
                <w:sz w:val="20"/>
                <w:szCs w:val="20"/>
              </w:rPr>
              <w:t>text</w:t>
            </w:r>
          </w:p>
        </w:tc>
        <w:tc>
          <w:tcPr>
            <w:tcW w:w="2610" w:type="dxa"/>
            <w:tcBorders>
              <w:top w:val="single" w:sz="4" w:space="0" w:color="000000" w:themeColor="text1"/>
              <w:left w:val="nil"/>
              <w:right w:val="nil"/>
            </w:tcBorders>
            <w:tcMar>
              <w:top w:w="100" w:type="dxa"/>
              <w:left w:w="100" w:type="dxa"/>
              <w:bottom w:w="100" w:type="dxa"/>
              <w:right w:w="100" w:type="dxa"/>
            </w:tcMar>
          </w:tcPr>
          <w:p w14:paraId="58721DA2" w14:textId="1FB9F269" w:rsidR="000E0465" w:rsidRPr="00CD0E29" w:rsidRDefault="000E0465" w:rsidP="00CD0E29">
            <w:pPr>
              <w:jc w:val="center"/>
              <w:rPr>
                <w:rFonts w:cs="Arial"/>
                <w:sz w:val="20"/>
                <w:szCs w:val="20"/>
              </w:rPr>
            </w:pPr>
            <w:proofErr w:type="spellStart"/>
            <w:r w:rsidRPr="00CD0E29">
              <w:rPr>
                <w:rFonts w:cs="Arial"/>
                <w:sz w:val="20"/>
                <w:szCs w:val="20"/>
              </w:rPr>
              <w:t>presented_name_of_service_provider</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2CE7A6D8" w14:textId="6F001360" w:rsidR="000E0465" w:rsidRPr="00CD0E29" w:rsidRDefault="000E0465" w:rsidP="00CD0E29">
            <w:pPr>
              <w:jc w:val="center"/>
              <w:rPr>
                <w:rFonts w:cs="Arial"/>
                <w:sz w:val="20"/>
                <w:szCs w:val="20"/>
              </w:rPr>
            </w:pPr>
            <w:r w:rsidRPr="00CD0E29">
              <w:rPr>
                <w:rFonts w:cs="Arial"/>
                <w:sz w:val="20"/>
                <w:szCs w:val="20"/>
              </w:rPr>
              <w:t>name of service. E.g. Microsoft</w:t>
            </w:r>
          </w:p>
        </w:tc>
        <w:tc>
          <w:tcPr>
            <w:tcW w:w="1540" w:type="dxa"/>
            <w:tcBorders>
              <w:top w:val="single" w:sz="4" w:space="0" w:color="000000" w:themeColor="text1"/>
              <w:left w:val="nil"/>
            </w:tcBorders>
            <w:tcMar>
              <w:top w:w="100" w:type="dxa"/>
              <w:left w:w="100" w:type="dxa"/>
              <w:bottom w:w="100" w:type="dxa"/>
              <w:right w:w="100" w:type="dxa"/>
            </w:tcMar>
          </w:tcPr>
          <w:p w14:paraId="4DF881E3" w14:textId="642FD104" w:rsidR="000E0465" w:rsidRPr="00CD0E29" w:rsidRDefault="000E0465" w:rsidP="00CD0E29">
            <w:pPr>
              <w:jc w:val="center"/>
              <w:rPr>
                <w:rFonts w:cs="Arial"/>
                <w:sz w:val="20"/>
                <w:szCs w:val="20"/>
              </w:rPr>
            </w:pPr>
            <w:r w:rsidRPr="00CD0E29">
              <w:rPr>
                <w:rFonts w:cs="Arial"/>
                <w:sz w:val="20"/>
                <w:szCs w:val="20"/>
              </w:rPr>
              <w:t>May</w:t>
            </w:r>
          </w:p>
        </w:tc>
      </w:tr>
      <w:tr w:rsidR="000E0465" w:rsidRPr="00CD0E29" w14:paraId="4DB7EE09" w14:textId="77777777" w:rsidTr="00A018BC">
        <w:trPr>
          <w:trHeight w:val="709"/>
        </w:trPr>
        <w:tc>
          <w:tcPr>
            <w:tcW w:w="900" w:type="dxa"/>
            <w:tcBorders>
              <w:top w:val="single" w:sz="4" w:space="0" w:color="000000" w:themeColor="text1"/>
              <w:right w:val="nil"/>
            </w:tcBorders>
            <w:tcMar>
              <w:top w:w="100" w:type="dxa"/>
              <w:left w:w="100" w:type="dxa"/>
              <w:bottom w:w="100" w:type="dxa"/>
              <w:right w:w="100" w:type="dxa"/>
            </w:tcMar>
          </w:tcPr>
          <w:p w14:paraId="5ED4EC5A" w14:textId="546EE8B6" w:rsidR="000E0465" w:rsidRPr="00CD0E29" w:rsidRDefault="000E0465" w:rsidP="00CD0E29">
            <w:pPr>
              <w:rPr>
                <w:rFonts w:cs="Arial"/>
                <w:sz w:val="20"/>
                <w:szCs w:val="20"/>
              </w:rPr>
            </w:pPr>
            <w:r w:rsidRPr="00CD0E29">
              <w:rPr>
                <w:rFonts w:cs="Arial"/>
                <w:sz w:val="20"/>
                <w:szCs w:val="20"/>
              </w:rPr>
              <w:t xml:space="preserve"> 2</w:t>
            </w:r>
          </w:p>
        </w:tc>
        <w:tc>
          <w:tcPr>
            <w:tcW w:w="2435" w:type="dxa"/>
            <w:tcBorders>
              <w:top w:val="single" w:sz="4" w:space="0" w:color="000000" w:themeColor="text1"/>
              <w:left w:val="nil"/>
              <w:right w:val="nil"/>
            </w:tcBorders>
            <w:tcMar>
              <w:top w:w="100" w:type="dxa"/>
              <w:left w:w="100" w:type="dxa"/>
              <w:bottom w:w="100" w:type="dxa"/>
              <w:right w:w="100" w:type="dxa"/>
            </w:tcMar>
          </w:tcPr>
          <w:p w14:paraId="297C172E" w14:textId="30C3BECD" w:rsidR="000E0465" w:rsidRPr="00CD0E29" w:rsidRDefault="000E0465" w:rsidP="00CD0E29">
            <w:pPr>
              <w:rPr>
                <w:rFonts w:cs="Arial"/>
                <w:sz w:val="20"/>
                <w:szCs w:val="20"/>
              </w:rPr>
            </w:pPr>
            <w:r w:rsidRPr="00CD0E29">
              <w:rPr>
                <w:rFonts w:cs="Arial"/>
                <w:sz w:val="20"/>
                <w:szCs w:val="20"/>
              </w:rPr>
              <w:t xml:space="preserve">PII Controller Identity &amp; Contact </w:t>
            </w:r>
          </w:p>
        </w:tc>
        <w:tc>
          <w:tcPr>
            <w:tcW w:w="1395" w:type="dxa"/>
            <w:tcBorders>
              <w:top w:val="single" w:sz="4" w:space="0" w:color="000000" w:themeColor="text1"/>
              <w:left w:val="nil"/>
              <w:right w:val="nil"/>
            </w:tcBorders>
            <w:tcMar>
              <w:top w:w="100" w:type="dxa"/>
              <w:left w:w="100" w:type="dxa"/>
              <w:bottom w:w="100" w:type="dxa"/>
              <w:right w:w="100" w:type="dxa"/>
            </w:tcMar>
          </w:tcPr>
          <w:p w14:paraId="18921B6D" w14:textId="6DB1039E" w:rsidR="000E0465" w:rsidRPr="00CD0E29" w:rsidRDefault="000E0465" w:rsidP="00CD0E29">
            <w:pPr>
              <w:jc w:val="center"/>
              <w:rPr>
                <w:rFonts w:cs="Arial"/>
                <w:sz w:val="20"/>
                <w:szCs w:val="20"/>
              </w:rPr>
            </w:pPr>
            <w:r w:rsidRPr="00CD0E29">
              <w:rPr>
                <w:rFonts w:cs="Arial"/>
                <w:sz w:val="20"/>
                <w:szCs w:val="20"/>
              </w:rPr>
              <w:t>object</w:t>
            </w:r>
          </w:p>
        </w:tc>
        <w:tc>
          <w:tcPr>
            <w:tcW w:w="2610" w:type="dxa"/>
            <w:tcBorders>
              <w:top w:val="single" w:sz="4" w:space="0" w:color="000000" w:themeColor="text1"/>
              <w:left w:val="nil"/>
              <w:right w:val="nil"/>
            </w:tcBorders>
            <w:tcMar>
              <w:top w:w="100" w:type="dxa"/>
              <w:left w:w="100" w:type="dxa"/>
              <w:bottom w:w="100" w:type="dxa"/>
              <w:right w:w="100" w:type="dxa"/>
            </w:tcMar>
          </w:tcPr>
          <w:p w14:paraId="3832E4AA" w14:textId="7779A4F0" w:rsidR="000E0465" w:rsidRPr="00CD0E29" w:rsidRDefault="000E0465" w:rsidP="00CD0E29">
            <w:pPr>
              <w:jc w:val="center"/>
              <w:rPr>
                <w:rFonts w:cs="Arial"/>
                <w:sz w:val="20"/>
                <w:szCs w:val="20"/>
              </w:rPr>
            </w:pPr>
            <w:r w:rsidRPr="00CD0E29">
              <w:rPr>
                <w:rFonts w:cs="Arial"/>
                <w:sz w:val="20"/>
                <w:szCs w:val="20"/>
              </w:rPr>
              <w:t>[</w:t>
            </w:r>
            <w:proofErr w:type="spellStart"/>
            <w:r w:rsidRPr="00CD0E29">
              <w:rPr>
                <w:rFonts w:cs="Arial"/>
                <w:sz w:val="20"/>
                <w:szCs w:val="20"/>
              </w:rPr>
              <w:t>piiController_identity</w:t>
            </w:r>
            <w:proofErr w:type="spellEnd"/>
            <w:r w:rsidRPr="00CD0E29">
              <w:rPr>
                <w:rFonts w:cs="Arial"/>
                <w:sz w:val="20"/>
                <w:szCs w:val="20"/>
              </w:rPr>
              <w:t>]</w:t>
            </w:r>
          </w:p>
        </w:tc>
        <w:tc>
          <w:tcPr>
            <w:tcW w:w="1380" w:type="dxa"/>
            <w:tcBorders>
              <w:top w:val="single" w:sz="4" w:space="0" w:color="000000" w:themeColor="text1"/>
              <w:left w:val="nil"/>
              <w:right w:val="nil"/>
            </w:tcBorders>
            <w:tcMar>
              <w:top w:w="100" w:type="dxa"/>
              <w:left w:w="100" w:type="dxa"/>
              <w:bottom w:w="100" w:type="dxa"/>
              <w:right w:w="100" w:type="dxa"/>
            </w:tcMar>
          </w:tcPr>
          <w:p w14:paraId="137B0CDA" w14:textId="3AE4B0E5" w:rsidR="000E0465" w:rsidRPr="00CD0E29" w:rsidRDefault="000E0465" w:rsidP="00CD0E29">
            <w:pPr>
              <w:jc w:val="center"/>
              <w:rPr>
                <w:rFonts w:cs="Arial"/>
                <w:sz w:val="20"/>
                <w:szCs w:val="20"/>
              </w:rPr>
            </w:pPr>
          </w:p>
        </w:tc>
        <w:tc>
          <w:tcPr>
            <w:tcW w:w="1540" w:type="dxa"/>
            <w:tcBorders>
              <w:top w:val="single" w:sz="4" w:space="0" w:color="000000" w:themeColor="text1"/>
              <w:left w:val="nil"/>
            </w:tcBorders>
            <w:tcMar>
              <w:top w:w="100" w:type="dxa"/>
              <w:left w:w="100" w:type="dxa"/>
              <w:bottom w:w="100" w:type="dxa"/>
              <w:right w:w="100" w:type="dxa"/>
            </w:tcMar>
          </w:tcPr>
          <w:p w14:paraId="72A8B86C" w14:textId="72631BA1" w:rsidR="000E0465" w:rsidRPr="00CD0E29" w:rsidRDefault="000E0465" w:rsidP="00CD0E29">
            <w:pPr>
              <w:jc w:val="center"/>
              <w:rPr>
                <w:rFonts w:cs="Arial"/>
                <w:sz w:val="20"/>
                <w:szCs w:val="20"/>
              </w:rPr>
            </w:pPr>
          </w:p>
        </w:tc>
      </w:tr>
      <w:tr w:rsidR="000E0465" w:rsidRPr="00CD0E29" w14:paraId="49DEACDD" w14:textId="77777777" w:rsidTr="00A018BC">
        <w:trPr>
          <w:trHeight w:val="485"/>
        </w:trPr>
        <w:tc>
          <w:tcPr>
            <w:tcW w:w="900" w:type="dxa"/>
            <w:tcBorders>
              <w:top w:val="single" w:sz="4" w:space="0" w:color="000000" w:themeColor="text1"/>
              <w:right w:val="nil"/>
            </w:tcBorders>
            <w:tcMar>
              <w:top w:w="100" w:type="dxa"/>
              <w:left w:w="100" w:type="dxa"/>
              <w:bottom w:w="100" w:type="dxa"/>
              <w:right w:w="100" w:type="dxa"/>
            </w:tcMar>
          </w:tcPr>
          <w:p w14:paraId="2433B134" w14:textId="1675A1C7" w:rsidR="000E0465" w:rsidRPr="00CD0E29" w:rsidRDefault="000E0465" w:rsidP="00CD0E29">
            <w:pPr>
              <w:rPr>
                <w:rFonts w:cs="Arial"/>
                <w:sz w:val="20"/>
                <w:szCs w:val="20"/>
              </w:rPr>
            </w:pPr>
            <w:r w:rsidRPr="00CD0E29">
              <w:rPr>
                <w:rFonts w:cs="Arial"/>
                <w:sz w:val="20"/>
                <w:szCs w:val="20"/>
              </w:rPr>
              <w:t xml:space="preserve"> 3</w:t>
            </w:r>
          </w:p>
        </w:tc>
        <w:tc>
          <w:tcPr>
            <w:tcW w:w="2435" w:type="dxa"/>
            <w:tcBorders>
              <w:top w:val="single" w:sz="4" w:space="0" w:color="000000" w:themeColor="text1"/>
              <w:left w:val="nil"/>
              <w:right w:val="nil"/>
            </w:tcBorders>
            <w:tcMar>
              <w:top w:w="100" w:type="dxa"/>
              <w:left w:w="100" w:type="dxa"/>
              <w:bottom w:w="100" w:type="dxa"/>
              <w:right w:w="100" w:type="dxa"/>
            </w:tcMar>
          </w:tcPr>
          <w:p w14:paraId="6E21DAE0" w14:textId="66D1A05A" w:rsidR="000E0465" w:rsidRPr="00CD0E29" w:rsidRDefault="000E0465" w:rsidP="00CD0E29">
            <w:pPr>
              <w:rPr>
                <w:rFonts w:cs="Arial"/>
                <w:sz w:val="20"/>
                <w:szCs w:val="20"/>
              </w:rPr>
            </w:pPr>
            <w:r w:rsidRPr="00CD0E29">
              <w:rPr>
                <w:rFonts w:cs="Arial"/>
                <w:sz w:val="20"/>
                <w:szCs w:val="20"/>
              </w:rPr>
              <w:t>PII Controller Name</w:t>
            </w:r>
          </w:p>
        </w:tc>
        <w:tc>
          <w:tcPr>
            <w:tcW w:w="1395" w:type="dxa"/>
            <w:tcBorders>
              <w:top w:val="single" w:sz="4" w:space="0" w:color="000000" w:themeColor="text1"/>
              <w:left w:val="nil"/>
              <w:right w:val="nil"/>
            </w:tcBorders>
            <w:tcMar>
              <w:top w:w="100" w:type="dxa"/>
              <w:left w:w="100" w:type="dxa"/>
              <w:bottom w:w="100" w:type="dxa"/>
              <w:right w:w="100" w:type="dxa"/>
            </w:tcMar>
          </w:tcPr>
          <w:p w14:paraId="23D6AC0D" w14:textId="3C609E18" w:rsidR="000E0465" w:rsidRPr="00CD0E29" w:rsidRDefault="000E0465" w:rsidP="00CD0E29">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7D933F1E" w14:textId="7F27FC04" w:rsidR="000E0465" w:rsidRPr="00CD0E29" w:rsidRDefault="000E0465" w:rsidP="00CD0E29">
            <w:pPr>
              <w:jc w:val="center"/>
              <w:rPr>
                <w:rFonts w:cs="Arial"/>
                <w:sz w:val="20"/>
                <w:szCs w:val="20"/>
              </w:rPr>
            </w:pPr>
            <w:proofErr w:type="spellStart"/>
            <w:r w:rsidRPr="00CD0E29">
              <w:rPr>
                <w:rFonts w:cs="Arial"/>
                <w:sz w:val="20"/>
                <w:szCs w:val="20"/>
              </w:rPr>
              <w:t>piiController_name</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14E95E48" w14:textId="512C8793" w:rsidR="000E0465" w:rsidRPr="00CD0E29" w:rsidRDefault="000E0465" w:rsidP="00CD0E29">
            <w:pPr>
              <w:jc w:val="center"/>
              <w:rPr>
                <w:rFonts w:cs="Arial"/>
                <w:sz w:val="20"/>
                <w:szCs w:val="20"/>
              </w:rPr>
            </w:pPr>
            <w:r w:rsidRPr="00CD0E29">
              <w:rPr>
                <w:rFonts w:cs="Arial"/>
                <w:sz w:val="20"/>
                <w:szCs w:val="20"/>
              </w:rPr>
              <w:t>Company / organization name</w:t>
            </w:r>
          </w:p>
        </w:tc>
        <w:tc>
          <w:tcPr>
            <w:tcW w:w="1540" w:type="dxa"/>
            <w:tcBorders>
              <w:top w:val="single" w:sz="4" w:space="0" w:color="000000" w:themeColor="text1"/>
              <w:left w:val="nil"/>
            </w:tcBorders>
            <w:tcMar>
              <w:top w:w="100" w:type="dxa"/>
              <w:left w:w="100" w:type="dxa"/>
              <w:bottom w:w="100" w:type="dxa"/>
              <w:right w:w="100" w:type="dxa"/>
            </w:tcMar>
          </w:tcPr>
          <w:p w14:paraId="57D2B7B6" w14:textId="7869FC76" w:rsidR="000E0465" w:rsidRPr="00CD0E29" w:rsidRDefault="000E0465" w:rsidP="00CD0E29">
            <w:pPr>
              <w:jc w:val="center"/>
              <w:rPr>
                <w:rFonts w:cs="Arial"/>
                <w:sz w:val="20"/>
                <w:szCs w:val="20"/>
              </w:rPr>
            </w:pPr>
            <w:r w:rsidRPr="00CD0E29">
              <w:rPr>
                <w:rFonts w:cs="Arial"/>
                <w:sz w:val="20"/>
                <w:szCs w:val="20"/>
              </w:rPr>
              <w:t>MUST</w:t>
            </w:r>
          </w:p>
        </w:tc>
      </w:tr>
      <w:tr w:rsidR="000E0465" w:rsidRPr="00CD0E29" w14:paraId="6626FA96" w14:textId="77777777" w:rsidTr="00A018BC">
        <w:trPr>
          <w:trHeight w:val="485"/>
        </w:trPr>
        <w:tc>
          <w:tcPr>
            <w:tcW w:w="900" w:type="dxa"/>
            <w:tcBorders>
              <w:top w:val="single" w:sz="4" w:space="0" w:color="000000" w:themeColor="text1"/>
              <w:right w:val="nil"/>
            </w:tcBorders>
            <w:tcMar>
              <w:top w:w="100" w:type="dxa"/>
              <w:left w:w="100" w:type="dxa"/>
              <w:bottom w:w="100" w:type="dxa"/>
              <w:right w:w="100" w:type="dxa"/>
            </w:tcMar>
          </w:tcPr>
          <w:p w14:paraId="7E9A7BC3" w14:textId="4EC2F21F" w:rsidR="000E0465" w:rsidRPr="00CD0E29" w:rsidRDefault="000E0465" w:rsidP="00CD0E29">
            <w:pPr>
              <w:rPr>
                <w:rFonts w:cs="Arial"/>
                <w:sz w:val="20"/>
                <w:szCs w:val="20"/>
              </w:rPr>
            </w:pPr>
            <w:r w:rsidRPr="00CD0E29">
              <w:rPr>
                <w:rFonts w:cs="Arial"/>
                <w:sz w:val="20"/>
                <w:szCs w:val="20"/>
              </w:rPr>
              <w:t xml:space="preserve"> </w:t>
            </w:r>
          </w:p>
        </w:tc>
        <w:tc>
          <w:tcPr>
            <w:tcW w:w="2435" w:type="dxa"/>
            <w:tcBorders>
              <w:top w:val="single" w:sz="4" w:space="0" w:color="000000" w:themeColor="text1"/>
              <w:left w:val="nil"/>
              <w:right w:val="nil"/>
            </w:tcBorders>
            <w:tcMar>
              <w:top w:w="100" w:type="dxa"/>
              <w:left w:w="100" w:type="dxa"/>
              <w:bottom w:w="100" w:type="dxa"/>
              <w:right w:w="100" w:type="dxa"/>
            </w:tcMar>
          </w:tcPr>
          <w:p w14:paraId="078AF41C" w14:textId="590E927D" w:rsidR="000E0465" w:rsidRPr="00CD0E29" w:rsidRDefault="000E0465" w:rsidP="00CD0E29">
            <w:pPr>
              <w:rPr>
                <w:rFonts w:cs="Arial"/>
                <w:sz w:val="20"/>
                <w:szCs w:val="20"/>
              </w:rPr>
            </w:pPr>
            <w:r w:rsidRPr="00CD0E29">
              <w:rPr>
                <w:rFonts w:cs="Arial"/>
                <w:sz w:val="20"/>
                <w:szCs w:val="20"/>
              </w:rPr>
              <w:t>PII Controller address</w:t>
            </w:r>
          </w:p>
        </w:tc>
        <w:tc>
          <w:tcPr>
            <w:tcW w:w="1395" w:type="dxa"/>
            <w:tcBorders>
              <w:top w:val="single" w:sz="4" w:space="0" w:color="000000" w:themeColor="text1"/>
              <w:left w:val="nil"/>
              <w:right w:val="nil"/>
            </w:tcBorders>
            <w:tcMar>
              <w:top w:w="100" w:type="dxa"/>
              <w:left w:w="100" w:type="dxa"/>
              <w:bottom w:w="100" w:type="dxa"/>
              <w:right w:w="100" w:type="dxa"/>
            </w:tcMar>
          </w:tcPr>
          <w:p w14:paraId="78C38AD8" w14:textId="45326608" w:rsidR="000E0465" w:rsidRPr="00CD0E29" w:rsidRDefault="000E0465" w:rsidP="00CD0E29">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00B274E9" w14:textId="26202343" w:rsidR="000E0465" w:rsidRPr="00CD0E29" w:rsidRDefault="000E0465" w:rsidP="00CD0E29">
            <w:pPr>
              <w:jc w:val="center"/>
              <w:rPr>
                <w:rFonts w:cs="Arial"/>
                <w:sz w:val="20"/>
                <w:szCs w:val="20"/>
              </w:rPr>
            </w:pPr>
            <w:proofErr w:type="spellStart"/>
            <w:r w:rsidRPr="00CD0E29">
              <w:rPr>
                <w:rFonts w:cs="Arial"/>
                <w:sz w:val="20"/>
                <w:szCs w:val="20"/>
              </w:rPr>
              <w:t>piiController_address</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593BCC76" w14:textId="1CCAF6D8" w:rsidR="000E0465" w:rsidRPr="00CD0E29" w:rsidRDefault="000E0465" w:rsidP="00CD0E29">
            <w:pPr>
              <w:jc w:val="center"/>
              <w:rPr>
                <w:rFonts w:cs="Arial"/>
                <w:sz w:val="20"/>
                <w:szCs w:val="20"/>
              </w:rPr>
            </w:pPr>
            <w:r w:rsidRPr="00CD0E29">
              <w:rPr>
                <w:rFonts w:cs="Arial"/>
                <w:sz w:val="20"/>
                <w:szCs w:val="20"/>
              </w:rPr>
              <w:t>_</w:t>
            </w:r>
          </w:p>
        </w:tc>
        <w:tc>
          <w:tcPr>
            <w:tcW w:w="1540" w:type="dxa"/>
            <w:tcBorders>
              <w:top w:val="single" w:sz="4" w:space="0" w:color="000000" w:themeColor="text1"/>
              <w:left w:val="nil"/>
            </w:tcBorders>
            <w:tcMar>
              <w:top w:w="100" w:type="dxa"/>
              <w:left w:w="100" w:type="dxa"/>
              <w:bottom w:w="100" w:type="dxa"/>
              <w:right w:w="100" w:type="dxa"/>
            </w:tcMar>
          </w:tcPr>
          <w:p w14:paraId="661F9F16" w14:textId="2AE0E820" w:rsidR="000E0465" w:rsidRPr="00CD0E29" w:rsidRDefault="000E0465" w:rsidP="00CD0E29">
            <w:pPr>
              <w:jc w:val="center"/>
              <w:rPr>
                <w:rFonts w:cs="Arial"/>
                <w:sz w:val="20"/>
                <w:szCs w:val="20"/>
              </w:rPr>
            </w:pPr>
            <w:r w:rsidRPr="00CD0E29">
              <w:rPr>
                <w:rFonts w:cs="Arial"/>
                <w:sz w:val="20"/>
                <w:szCs w:val="20"/>
              </w:rPr>
              <w:t>MUST</w:t>
            </w:r>
          </w:p>
        </w:tc>
      </w:tr>
      <w:tr w:rsidR="000E0465" w:rsidRPr="00CD0E29" w14:paraId="3B3A3F96" w14:textId="77777777" w:rsidTr="00A018BC">
        <w:trPr>
          <w:trHeight w:val="485"/>
        </w:trPr>
        <w:tc>
          <w:tcPr>
            <w:tcW w:w="900" w:type="dxa"/>
            <w:tcBorders>
              <w:top w:val="single" w:sz="4" w:space="0" w:color="000000" w:themeColor="text1"/>
              <w:right w:val="nil"/>
            </w:tcBorders>
            <w:tcMar>
              <w:top w:w="100" w:type="dxa"/>
              <w:left w:w="100" w:type="dxa"/>
              <w:bottom w:w="100" w:type="dxa"/>
              <w:right w:w="100" w:type="dxa"/>
            </w:tcMar>
          </w:tcPr>
          <w:p w14:paraId="00684668" w14:textId="5D091E38" w:rsidR="000E0465" w:rsidRPr="00CD0E29" w:rsidRDefault="000E0465" w:rsidP="00CD0E29">
            <w:pPr>
              <w:rPr>
                <w:rFonts w:cs="Arial"/>
                <w:sz w:val="20"/>
                <w:szCs w:val="20"/>
              </w:rPr>
            </w:pPr>
            <w:r w:rsidRPr="00CD0E29">
              <w:rPr>
                <w:rFonts w:cs="Arial"/>
                <w:sz w:val="20"/>
                <w:szCs w:val="20"/>
              </w:rPr>
              <w:t xml:space="preserve"> 4</w:t>
            </w:r>
          </w:p>
        </w:tc>
        <w:tc>
          <w:tcPr>
            <w:tcW w:w="2435" w:type="dxa"/>
            <w:tcBorders>
              <w:top w:val="single" w:sz="4" w:space="0" w:color="000000" w:themeColor="text1"/>
              <w:left w:val="nil"/>
              <w:right w:val="nil"/>
            </w:tcBorders>
            <w:tcMar>
              <w:top w:w="100" w:type="dxa"/>
              <w:left w:w="100" w:type="dxa"/>
              <w:bottom w:w="100" w:type="dxa"/>
              <w:right w:w="100" w:type="dxa"/>
            </w:tcMar>
          </w:tcPr>
          <w:p w14:paraId="3B61A533" w14:textId="45B4E98F" w:rsidR="000E0465" w:rsidRPr="00CD0E29" w:rsidRDefault="000E0465" w:rsidP="00CD0E29">
            <w:pPr>
              <w:rPr>
                <w:rFonts w:cs="Arial"/>
                <w:sz w:val="20"/>
                <w:szCs w:val="20"/>
              </w:rPr>
            </w:pPr>
            <w:r w:rsidRPr="00CD0E29">
              <w:rPr>
                <w:rFonts w:cs="Arial"/>
                <w:sz w:val="20"/>
                <w:szCs w:val="20"/>
              </w:rPr>
              <w:t>PII Controller contact email</w:t>
            </w:r>
          </w:p>
        </w:tc>
        <w:tc>
          <w:tcPr>
            <w:tcW w:w="1395" w:type="dxa"/>
            <w:tcBorders>
              <w:top w:val="single" w:sz="4" w:space="0" w:color="000000" w:themeColor="text1"/>
              <w:left w:val="nil"/>
              <w:right w:val="nil"/>
            </w:tcBorders>
            <w:tcMar>
              <w:top w:w="100" w:type="dxa"/>
              <w:left w:w="100" w:type="dxa"/>
              <w:bottom w:w="100" w:type="dxa"/>
              <w:right w:w="100" w:type="dxa"/>
            </w:tcMar>
          </w:tcPr>
          <w:p w14:paraId="2C0B6FD2" w14:textId="31BF95F5" w:rsidR="000E0465" w:rsidRPr="00CD0E29" w:rsidRDefault="000E0465" w:rsidP="00CD0E29">
            <w:pPr>
              <w:jc w:val="center"/>
              <w:rPr>
                <w:rFonts w:cs="Arial"/>
                <w:sz w:val="20"/>
                <w:szCs w:val="20"/>
              </w:rPr>
            </w:pPr>
            <w:r w:rsidRPr="00CD0E29">
              <w:rPr>
                <w:rFonts w:cs="Arial"/>
                <w:sz w:val="20"/>
                <w:szCs w:val="20"/>
              </w:rPr>
              <w:t>Varchar(n)</w:t>
            </w:r>
          </w:p>
        </w:tc>
        <w:tc>
          <w:tcPr>
            <w:tcW w:w="2610" w:type="dxa"/>
            <w:tcBorders>
              <w:top w:val="single" w:sz="4" w:space="0" w:color="000000" w:themeColor="text1"/>
              <w:left w:val="nil"/>
              <w:right w:val="nil"/>
            </w:tcBorders>
            <w:tcMar>
              <w:top w:w="100" w:type="dxa"/>
              <w:left w:w="100" w:type="dxa"/>
              <w:bottom w:w="100" w:type="dxa"/>
              <w:right w:w="100" w:type="dxa"/>
            </w:tcMar>
          </w:tcPr>
          <w:p w14:paraId="4DCD886E" w14:textId="01F0292C" w:rsidR="000E0465" w:rsidRPr="00CD0E29" w:rsidRDefault="000E0465" w:rsidP="00CD0E29">
            <w:pPr>
              <w:jc w:val="center"/>
              <w:rPr>
                <w:rFonts w:cs="Arial"/>
                <w:sz w:val="20"/>
                <w:szCs w:val="20"/>
              </w:rPr>
            </w:pPr>
            <w:proofErr w:type="spellStart"/>
            <w:r w:rsidRPr="00CD0E29">
              <w:rPr>
                <w:rFonts w:cs="Arial"/>
                <w:sz w:val="20"/>
                <w:szCs w:val="20"/>
              </w:rPr>
              <w:t>piiController_contact_email</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60F7C631" w14:textId="38F851F7" w:rsidR="000E0465" w:rsidRPr="00CD0E29" w:rsidRDefault="000E0465" w:rsidP="00CD0E29">
            <w:pPr>
              <w:jc w:val="center"/>
              <w:rPr>
                <w:rFonts w:cs="Arial"/>
                <w:sz w:val="20"/>
                <w:szCs w:val="20"/>
              </w:rPr>
            </w:pPr>
            <w:r w:rsidRPr="00CD0E29">
              <w:rPr>
                <w:rFonts w:cs="Arial"/>
                <w:sz w:val="20"/>
                <w:szCs w:val="20"/>
              </w:rPr>
              <w:t>correspondence email</w:t>
            </w:r>
          </w:p>
        </w:tc>
        <w:tc>
          <w:tcPr>
            <w:tcW w:w="1540" w:type="dxa"/>
            <w:tcBorders>
              <w:top w:val="single" w:sz="4" w:space="0" w:color="000000" w:themeColor="text1"/>
              <w:left w:val="nil"/>
            </w:tcBorders>
            <w:tcMar>
              <w:top w:w="100" w:type="dxa"/>
              <w:left w:w="100" w:type="dxa"/>
              <w:bottom w:w="100" w:type="dxa"/>
              <w:right w:w="100" w:type="dxa"/>
            </w:tcMar>
          </w:tcPr>
          <w:p w14:paraId="1C7B24AA" w14:textId="5F7F63F8" w:rsidR="000E0465" w:rsidRPr="00CD0E29" w:rsidRDefault="000E0465" w:rsidP="00CD0E29">
            <w:pPr>
              <w:jc w:val="center"/>
              <w:rPr>
                <w:rFonts w:cs="Arial"/>
                <w:sz w:val="20"/>
                <w:szCs w:val="20"/>
              </w:rPr>
            </w:pPr>
            <w:r w:rsidRPr="00CD0E29">
              <w:rPr>
                <w:rFonts w:cs="Arial"/>
                <w:sz w:val="20"/>
                <w:szCs w:val="20"/>
              </w:rPr>
              <w:t>MUST</w:t>
            </w:r>
          </w:p>
        </w:tc>
      </w:tr>
      <w:tr w:rsidR="000E0465" w:rsidRPr="00CD0E29" w14:paraId="76802F04" w14:textId="77777777" w:rsidTr="00A018BC">
        <w:trPr>
          <w:trHeight w:val="485"/>
        </w:trPr>
        <w:tc>
          <w:tcPr>
            <w:tcW w:w="900" w:type="dxa"/>
            <w:tcBorders>
              <w:top w:val="single" w:sz="4" w:space="0" w:color="000000" w:themeColor="text1"/>
              <w:right w:val="nil"/>
            </w:tcBorders>
            <w:tcMar>
              <w:top w:w="100" w:type="dxa"/>
              <w:left w:w="100" w:type="dxa"/>
              <w:bottom w:w="100" w:type="dxa"/>
              <w:right w:w="100" w:type="dxa"/>
            </w:tcMar>
          </w:tcPr>
          <w:p w14:paraId="44A62F50" w14:textId="50BAC886" w:rsidR="000E0465" w:rsidRPr="00CD0E29" w:rsidRDefault="000E0465" w:rsidP="00CD0E29">
            <w:pPr>
              <w:rPr>
                <w:rFonts w:cs="Arial"/>
                <w:sz w:val="20"/>
                <w:szCs w:val="20"/>
              </w:rPr>
            </w:pPr>
            <w:r w:rsidRPr="00CD0E29">
              <w:rPr>
                <w:rFonts w:cs="Arial"/>
                <w:sz w:val="20"/>
                <w:szCs w:val="20"/>
              </w:rPr>
              <w:t xml:space="preserve"> 6</w:t>
            </w:r>
          </w:p>
        </w:tc>
        <w:tc>
          <w:tcPr>
            <w:tcW w:w="2435" w:type="dxa"/>
            <w:tcBorders>
              <w:top w:val="single" w:sz="4" w:space="0" w:color="000000" w:themeColor="text1"/>
              <w:left w:val="nil"/>
              <w:right w:val="nil"/>
            </w:tcBorders>
            <w:tcMar>
              <w:top w:w="100" w:type="dxa"/>
              <w:left w:w="100" w:type="dxa"/>
              <w:bottom w:w="100" w:type="dxa"/>
              <w:right w:w="100" w:type="dxa"/>
            </w:tcMar>
          </w:tcPr>
          <w:p w14:paraId="3671F764" w14:textId="5C665F35" w:rsidR="000E0465" w:rsidRPr="00CD0E29" w:rsidRDefault="000E0465" w:rsidP="00CD0E29">
            <w:pPr>
              <w:rPr>
                <w:rFonts w:cs="Arial"/>
                <w:sz w:val="20"/>
                <w:szCs w:val="20"/>
              </w:rPr>
            </w:pPr>
            <w:r w:rsidRPr="00CD0E29">
              <w:rPr>
                <w:rFonts w:cs="Arial"/>
                <w:sz w:val="20"/>
                <w:szCs w:val="20"/>
              </w:rPr>
              <w:t>PII Controller Phone</w:t>
            </w:r>
          </w:p>
        </w:tc>
        <w:tc>
          <w:tcPr>
            <w:tcW w:w="1395" w:type="dxa"/>
            <w:tcBorders>
              <w:top w:val="single" w:sz="4" w:space="0" w:color="000000" w:themeColor="text1"/>
              <w:left w:val="nil"/>
              <w:right w:val="nil"/>
            </w:tcBorders>
            <w:tcMar>
              <w:top w:w="100" w:type="dxa"/>
              <w:left w:w="100" w:type="dxa"/>
              <w:bottom w:w="100" w:type="dxa"/>
              <w:right w:w="100" w:type="dxa"/>
            </w:tcMar>
          </w:tcPr>
          <w:p w14:paraId="4D2C7D50" w14:textId="0BB0A476" w:rsidR="000E0465" w:rsidRPr="00CD0E29" w:rsidRDefault="000E0465" w:rsidP="00CD0E29">
            <w:pPr>
              <w:jc w:val="center"/>
              <w:rPr>
                <w:rFonts w:cs="Arial"/>
                <w:sz w:val="20"/>
                <w:szCs w:val="20"/>
              </w:rPr>
            </w:pPr>
            <w:r w:rsidRPr="00CD0E29">
              <w:rPr>
                <w:rFonts w:cs="Arial"/>
                <w:sz w:val="20"/>
                <w:szCs w:val="20"/>
              </w:rPr>
              <w:t>Char</w:t>
            </w:r>
          </w:p>
        </w:tc>
        <w:tc>
          <w:tcPr>
            <w:tcW w:w="2610" w:type="dxa"/>
            <w:tcBorders>
              <w:top w:val="single" w:sz="4" w:space="0" w:color="000000" w:themeColor="text1"/>
              <w:left w:val="nil"/>
              <w:right w:val="nil"/>
            </w:tcBorders>
            <w:tcMar>
              <w:top w:w="100" w:type="dxa"/>
              <w:left w:w="100" w:type="dxa"/>
              <w:bottom w:w="100" w:type="dxa"/>
              <w:right w:w="100" w:type="dxa"/>
            </w:tcMar>
          </w:tcPr>
          <w:p w14:paraId="3ED03291" w14:textId="69382DDD" w:rsidR="000E0465" w:rsidRPr="00CD0E29" w:rsidRDefault="000E0465" w:rsidP="00CD0E29">
            <w:pPr>
              <w:jc w:val="center"/>
              <w:rPr>
                <w:rFonts w:cs="Arial"/>
                <w:sz w:val="20"/>
                <w:szCs w:val="20"/>
              </w:rPr>
            </w:pPr>
            <w:proofErr w:type="spellStart"/>
            <w:r w:rsidRPr="00CD0E29">
              <w:rPr>
                <w:rFonts w:cs="Arial"/>
                <w:sz w:val="20"/>
                <w:szCs w:val="20"/>
              </w:rPr>
              <w:t>piiController_phone</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5430A99C" w14:textId="7B895503" w:rsidR="000E0465" w:rsidRPr="00CD0E29" w:rsidRDefault="000E0465" w:rsidP="00CD0E29">
            <w:pPr>
              <w:jc w:val="center"/>
              <w:rPr>
                <w:rFonts w:cs="Arial"/>
                <w:sz w:val="20"/>
                <w:szCs w:val="20"/>
              </w:rPr>
            </w:pPr>
            <w:r w:rsidRPr="00CD0E29">
              <w:rPr>
                <w:rFonts w:cs="Arial"/>
                <w:sz w:val="20"/>
                <w:szCs w:val="20"/>
              </w:rPr>
              <w:t>The general correspondence phone number</w:t>
            </w:r>
          </w:p>
        </w:tc>
        <w:tc>
          <w:tcPr>
            <w:tcW w:w="1540" w:type="dxa"/>
            <w:tcBorders>
              <w:top w:val="single" w:sz="4" w:space="0" w:color="000000" w:themeColor="text1"/>
              <w:left w:val="nil"/>
            </w:tcBorders>
            <w:tcMar>
              <w:top w:w="100" w:type="dxa"/>
              <w:left w:w="100" w:type="dxa"/>
              <w:bottom w:w="100" w:type="dxa"/>
              <w:right w:w="100" w:type="dxa"/>
            </w:tcMar>
          </w:tcPr>
          <w:p w14:paraId="69E7A3B4" w14:textId="3A14E4D7" w:rsidR="000E0465" w:rsidRPr="00CD0E29" w:rsidRDefault="000E0465" w:rsidP="00CD0E29">
            <w:pPr>
              <w:jc w:val="center"/>
              <w:rPr>
                <w:rFonts w:cs="Arial"/>
                <w:sz w:val="20"/>
                <w:szCs w:val="20"/>
              </w:rPr>
            </w:pPr>
            <w:r w:rsidRPr="00CD0E29">
              <w:rPr>
                <w:rFonts w:cs="Arial"/>
                <w:sz w:val="20"/>
                <w:szCs w:val="20"/>
              </w:rPr>
              <w:t>SHOULD</w:t>
            </w:r>
          </w:p>
        </w:tc>
      </w:tr>
      <w:tr w:rsidR="000E0465" w:rsidRPr="00CD0E29" w14:paraId="65902565" w14:textId="77777777" w:rsidTr="00A018BC">
        <w:trPr>
          <w:trHeight w:val="560"/>
        </w:trPr>
        <w:tc>
          <w:tcPr>
            <w:tcW w:w="900" w:type="dxa"/>
            <w:tcBorders>
              <w:top w:val="single" w:sz="4" w:space="0" w:color="000000" w:themeColor="text1"/>
              <w:right w:val="nil"/>
            </w:tcBorders>
            <w:tcMar>
              <w:top w:w="100" w:type="dxa"/>
              <w:left w:w="100" w:type="dxa"/>
              <w:bottom w:w="100" w:type="dxa"/>
              <w:right w:w="100" w:type="dxa"/>
            </w:tcMar>
          </w:tcPr>
          <w:p w14:paraId="2E98AB9C" w14:textId="4DC8A6F9" w:rsidR="000E0465" w:rsidRPr="00CD0E29" w:rsidRDefault="000E0465" w:rsidP="00CD0E29">
            <w:pPr>
              <w:rPr>
                <w:rFonts w:cs="Arial"/>
                <w:sz w:val="20"/>
                <w:szCs w:val="20"/>
              </w:rPr>
            </w:pPr>
            <w:r w:rsidRPr="00CD0E29">
              <w:rPr>
                <w:rFonts w:cs="Arial"/>
                <w:sz w:val="20"/>
                <w:szCs w:val="20"/>
              </w:rPr>
              <w:t xml:space="preserve"> 7</w:t>
            </w:r>
          </w:p>
        </w:tc>
        <w:tc>
          <w:tcPr>
            <w:tcW w:w="2435" w:type="dxa"/>
            <w:tcBorders>
              <w:top w:val="single" w:sz="4" w:space="0" w:color="000000" w:themeColor="text1"/>
              <w:left w:val="nil"/>
              <w:right w:val="nil"/>
            </w:tcBorders>
            <w:tcMar>
              <w:top w:w="100" w:type="dxa"/>
              <w:left w:w="100" w:type="dxa"/>
              <w:bottom w:w="100" w:type="dxa"/>
              <w:right w:w="100" w:type="dxa"/>
            </w:tcMar>
          </w:tcPr>
          <w:p w14:paraId="31FC3C97" w14:textId="7F6ED8B7" w:rsidR="000E0465" w:rsidRPr="00CD0E29" w:rsidRDefault="000E0465" w:rsidP="00CD0E29">
            <w:pPr>
              <w:rPr>
                <w:rFonts w:cs="Arial"/>
                <w:sz w:val="20"/>
                <w:szCs w:val="20"/>
              </w:rPr>
            </w:pPr>
            <w:r w:rsidRPr="00CD0E29">
              <w:rPr>
                <w:rFonts w:cs="Arial"/>
                <w:sz w:val="20"/>
                <w:szCs w:val="20"/>
              </w:rPr>
              <w:t>PII Controller Website</w:t>
            </w:r>
          </w:p>
        </w:tc>
        <w:tc>
          <w:tcPr>
            <w:tcW w:w="1395" w:type="dxa"/>
            <w:tcBorders>
              <w:top w:val="single" w:sz="4" w:space="0" w:color="000000" w:themeColor="text1"/>
              <w:left w:val="nil"/>
              <w:right w:val="nil"/>
            </w:tcBorders>
            <w:tcMar>
              <w:top w:w="100" w:type="dxa"/>
              <w:left w:w="100" w:type="dxa"/>
              <w:bottom w:w="100" w:type="dxa"/>
              <w:right w:w="100" w:type="dxa"/>
            </w:tcMar>
          </w:tcPr>
          <w:p w14:paraId="34AD3A2F" w14:textId="03D6C554" w:rsidR="000E0465" w:rsidRPr="00CD0E29" w:rsidRDefault="000E0465" w:rsidP="00CD0E29">
            <w:pPr>
              <w:jc w:val="center"/>
              <w:rPr>
                <w:rFonts w:cs="Arial"/>
                <w:sz w:val="20"/>
                <w:szCs w:val="20"/>
              </w:rPr>
            </w:pPr>
            <w:r w:rsidRPr="00CD0E29">
              <w:rPr>
                <w:rFonts w:cs="Arial"/>
                <w:sz w:val="20"/>
                <w:szCs w:val="20"/>
              </w:rPr>
              <w:t>Varchar</w:t>
            </w:r>
          </w:p>
        </w:tc>
        <w:tc>
          <w:tcPr>
            <w:tcW w:w="2610" w:type="dxa"/>
            <w:tcBorders>
              <w:top w:val="single" w:sz="4" w:space="0" w:color="000000" w:themeColor="text1"/>
              <w:left w:val="nil"/>
              <w:right w:val="nil"/>
            </w:tcBorders>
            <w:tcMar>
              <w:top w:w="100" w:type="dxa"/>
              <w:left w:w="100" w:type="dxa"/>
              <w:bottom w:w="100" w:type="dxa"/>
              <w:right w:w="100" w:type="dxa"/>
            </w:tcMar>
          </w:tcPr>
          <w:p w14:paraId="749DE1EE" w14:textId="4280B17D" w:rsidR="000E0465" w:rsidRPr="00CD0E29" w:rsidRDefault="000E0465" w:rsidP="00CD0E29">
            <w:pPr>
              <w:jc w:val="center"/>
              <w:rPr>
                <w:rFonts w:cs="Arial"/>
                <w:sz w:val="20"/>
                <w:szCs w:val="20"/>
              </w:rPr>
            </w:pPr>
            <w:proofErr w:type="spellStart"/>
            <w:r w:rsidRPr="00CD0E29">
              <w:rPr>
                <w:rFonts w:cs="Arial"/>
                <w:sz w:val="20"/>
                <w:szCs w:val="20"/>
              </w:rPr>
              <w:t>piiController_www</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67F164E4" w14:textId="2D2795D3" w:rsidR="000E0465" w:rsidRPr="00CD0E29" w:rsidRDefault="000E0465" w:rsidP="00CD0E29">
            <w:pPr>
              <w:jc w:val="center"/>
              <w:rPr>
                <w:rFonts w:cs="Arial"/>
                <w:sz w:val="20"/>
                <w:szCs w:val="20"/>
              </w:rPr>
            </w:pPr>
            <w:r w:rsidRPr="00CD0E29">
              <w:rPr>
                <w:rFonts w:cs="Arial"/>
                <w:sz w:val="20"/>
                <w:szCs w:val="20"/>
              </w:rPr>
              <w:t xml:space="preserve">URL of website (or link to </w:t>
            </w:r>
            <w:r w:rsidR="0F1F7E4A" w:rsidRPr="00CD0E29">
              <w:rPr>
                <w:rFonts w:cs="Arial"/>
                <w:sz w:val="20"/>
                <w:szCs w:val="20"/>
              </w:rPr>
              <w:t>controller application</w:t>
            </w:r>
            <w:r w:rsidRPr="00CD0E29">
              <w:rPr>
                <w:rFonts w:cs="Arial"/>
                <w:sz w:val="20"/>
                <w:szCs w:val="20"/>
              </w:rPr>
              <w:t>)</w:t>
            </w:r>
          </w:p>
        </w:tc>
        <w:tc>
          <w:tcPr>
            <w:tcW w:w="1540" w:type="dxa"/>
            <w:tcBorders>
              <w:top w:val="single" w:sz="4" w:space="0" w:color="000000" w:themeColor="text1"/>
              <w:left w:val="nil"/>
            </w:tcBorders>
            <w:tcMar>
              <w:top w:w="100" w:type="dxa"/>
              <w:left w:w="100" w:type="dxa"/>
              <w:bottom w:w="100" w:type="dxa"/>
              <w:right w:w="100" w:type="dxa"/>
            </w:tcMar>
          </w:tcPr>
          <w:p w14:paraId="32B85B37" w14:textId="67603160" w:rsidR="000E0465" w:rsidRPr="00CD0E29" w:rsidRDefault="000E0465" w:rsidP="00CD0E29">
            <w:pPr>
              <w:jc w:val="center"/>
              <w:rPr>
                <w:rFonts w:cs="Arial"/>
                <w:sz w:val="20"/>
                <w:szCs w:val="20"/>
              </w:rPr>
            </w:pPr>
            <w:r w:rsidRPr="00CD0E29">
              <w:rPr>
                <w:rFonts w:cs="Arial"/>
                <w:sz w:val="20"/>
                <w:szCs w:val="20"/>
              </w:rPr>
              <w:t>MUST</w:t>
            </w:r>
          </w:p>
        </w:tc>
      </w:tr>
    </w:tbl>
    <w:p w14:paraId="24B5C12C" w14:textId="6DD867E2" w:rsidR="00AA4E85" w:rsidRPr="00AA4E85" w:rsidRDefault="00AA4E85">
      <w:pPr>
        <w:rPr>
          <w:i/>
          <w:iCs/>
          <w:sz w:val="18"/>
          <w:szCs w:val="18"/>
        </w:rPr>
      </w:pPr>
      <w:r>
        <w:tab/>
      </w:r>
      <w:r>
        <w:tab/>
      </w:r>
      <w:r>
        <w:tab/>
      </w:r>
      <w:r>
        <w:tab/>
      </w:r>
      <w:r>
        <w:tab/>
      </w:r>
      <w:r>
        <w:tab/>
      </w:r>
      <w:r>
        <w:tab/>
      </w:r>
      <w:r>
        <w:tab/>
      </w:r>
      <w:r>
        <w:tab/>
      </w:r>
      <w:r w:rsidRPr="00AA4E85">
        <w:rPr>
          <w:i/>
          <w:iCs/>
          <w:color w:val="000000" w:themeColor="text1"/>
          <w:sz w:val="18"/>
          <w:szCs w:val="18"/>
        </w:rPr>
        <w:t xml:space="preserve">(table </w:t>
      </w:r>
      <w:r>
        <w:rPr>
          <w:i/>
          <w:iCs/>
          <w:color w:val="000000" w:themeColor="text1"/>
          <w:sz w:val="18"/>
          <w:szCs w:val="18"/>
        </w:rPr>
        <w:t>A</w:t>
      </w:r>
      <w:r w:rsidRPr="00AA4E85">
        <w:rPr>
          <w:i/>
          <w:iCs/>
          <w:color w:val="000000" w:themeColor="text1"/>
          <w:sz w:val="18"/>
          <w:szCs w:val="18"/>
        </w:rPr>
        <w:t>.1 continued on next page)</w:t>
      </w:r>
    </w:p>
    <w:p w14:paraId="5D099CD6" w14:textId="77777777" w:rsidR="00AA4E85" w:rsidRDefault="00AA4E85"/>
    <w:p w14:paraId="47F4C43C" w14:textId="77777777" w:rsidR="00EB5D7C" w:rsidRDefault="00EB5D7C">
      <w:pPr>
        <w:rPr>
          <w:i/>
          <w:iCs/>
          <w:color w:val="2C3E50"/>
          <w:sz w:val="18"/>
          <w:szCs w:val="18"/>
        </w:rPr>
      </w:pPr>
    </w:p>
    <w:p w14:paraId="6AE25FD1" w14:textId="62C8AF2A" w:rsidR="00AA4E85" w:rsidRPr="00AA4E85" w:rsidRDefault="00AA4E85">
      <w:pPr>
        <w:rPr>
          <w:i/>
          <w:iCs/>
          <w:color w:val="2C3E50"/>
          <w:sz w:val="18"/>
          <w:szCs w:val="18"/>
        </w:rPr>
      </w:pPr>
      <w:r w:rsidRPr="00AA4E85">
        <w:rPr>
          <w:i/>
          <w:iCs/>
          <w:color w:val="2C3E50"/>
          <w:sz w:val="18"/>
          <w:szCs w:val="18"/>
        </w:rPr>
        <w:lastRenderedPageBreak/>
        <w:t>Table A.1 PII Controller Identification Record Fields cont.</w:t>
      </w:r>
    </w:p>
    <w:tbl>
      <w:tblPr>
        <w:tblW w:w="10260" w:type="dxa"/>
        <w:tblInd w:w="-455" w:type="dxa"/>
        <w:tblBorders>
          <w:bottom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900"/>
        <w:gridCol w:w="2435"/>
        <w:gridCol w:w="1395"/>
        <w:gridCol w:w="2610"/>
        <w:gridCol w:w="1380"/>
        <w:gridCol w:w="1540"/>
      </w:tblGrid>
      <w:tr w:rsidR="00AA4E85" w:rsidRPr="00CD0E29" w14:paraId="2FFD27AC" w14:textId="77777777" w:rsidTr="00075967">
        <w:trPr>
          <w:trHeight w:val="367"/>
        </w:trPr>
        <w:tc>
          <w:tcPr>
            <w:tcW w:w="900" w:type="dxa"/>
            <w:tcBorders>
              <w:top w:val="single" w:sz="4" w:space="0" w:color="000000" w:themeColor="text1"/>
              <w:right w:val="nil"/>
            </w:tcBorders>
            <w:tcMar>
              <w:top w:w="100" w:type="dxa"/>
              <w:left w:w="100" w:type="dxa"/>
              <w:bottom w:w="100" w:type="dxa"/>
              <w:right w:w="100" w:type="dxa"/>
            </w:tcMar>
          </w:tcPr>
          <w:p w14:paraId="1503A683" w14:textId="77777777" w:rsidR="00AA4E85" w:rsidRPr="00CD0E29" w:rsidRDefault="00AA4E85" w:rsidP="00075967">
            <w:pPr>
              <w:jc w:val="center"/>
              <w:rPr>
                <w:rFonts w:cs="Arial"/>
                <w:sz w:val="20"/>
                <w:szCs w:val="20"/>
              </w:rPr>
            </w:pPr>
            <w:r w:rsidRPr="00CD0E29">
              <w:rPr>
                <w:rFonts w:cs="Arial"/>
                <w:sz w:val="20"/>
                <w:szCs w:val="20"/>
              </w:rPr>
              <w:t>Field #</w:t>
            </w:r>
          </w:p>
        </w:tc>
        <w:tc>
          <w:tcPr>
            <w:tcW w:w="2435" w:type="dxa"/>
            <w:tcBorders>
              <w:top w:val="single" w:sz="4" w:space="0" w:color="000000" w:themeColor="text1"/>
              <w:left w:val="nil"/>
              <w:right w:val="nil"/>
            </w:tcBorders>
            <w:tcMar>
              <w:top w:w="100" w:type="dxa"/>
              <w:left w:w="100" w:type="dxa"/>
              <w:bottom w:w="100" w:type="dxa"/>
              <w:right w:w="100" w:type="dxa"/>
            </w:tcMar>
          </w:tcPr>
          <w:p w14:paraId="48179D85" w14:textId="77777777" w:rsidR="00AA4E85" w:rsidRPr="00CD0E29" w:rsidRDefault="00AA4E85" w:rsidP="00075967">
            <w:pPr>
              <w:rPr>
                <w:rFonts w:cs="Arial"/>
                <w:sz w:val="20"/>
                <w:szCs w:val="20"/>
              </w:rPr>
            </w:pPr>
            <w:r w:rsidRPr="00CD0E29">
              <w:rPr>
                <w:rFonts w:cs="Arial"/>
                <w:sz w:val="20"/>
                <w:szCs w:val="20"/>
              </w:rPr>
              <w:t>Controller ID Object</w:t>
            </w:r>
          </w:p>
        </w:tc>
        <w:tc>
          <w:tcPr>
            <w:tcW w:w="1395" w:type="dxa"/>
            <w:tcBorders>
              <w:top w:val="single" w:sz="4" w:space="0" w:color="000000" w:themeColor="text1"/>
              <w:left w:val="nil"/>
              <w:right w:val="nil"/>
            </w:tcBorders>
            <w:tcMar>
              <w:top w:w="100" w:type="dxa"/>
              <w:left w:w="100" w:type="dxa"/>
              <w:bottom w:w="100" w:type="dxa"/>
              <w:right w:w="100" w:type="dxa"/>
            </w:tcMar>
          </w:tcPr>
          <w:p w14:paraId="4D02DE6B" w14:textId="77777777" w:rsidR="00AA4E85" w:rsidRPr="00CD0E29" w:rsidRDefault="00AA4E85" w:rsidP="00075967">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021B8651" w14:textId="77777777" w:rsidR="00AA4E85" w:rsidRPr="00CD0E29" w:rsidRDefault="00AA4E85" w:rsidP="00075967">
            <w:pPr>
              <w:jc w:val="center"/>
              <w:rPr>
                <w:rFonts w:cs="Arial"/>
                <w:sz w:val="20"/>
                <w:szCs w:val="20"/>
              </w:rPr>
            </w:pPr>
            <w:proofErr w:type="spellStart"/>
            <w:r w:rsidRPr="00CD0E29">
              <w:rPr>
                <w:rFonts w:cs="Arial"/>
                <w:sz w:val="20"/>
                <w:szCs w:val="20"/>
              </w:rPr>
              <w:t>controller_id_object</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74FC83ED" w14:textId="77777777" w:rsidR="00AA4E85" w:rsidRPr="00CD0E29" w:rsidRDefault="00AA4E85" w:rsidP="00075967">
            <w:pPr>
              <w:jc w:val="center"/>
              <w:rPr>
                <w:rFonts w:cs="Arial"/>
                <w:sz w:val="20"/>
                <w:szCs w:val="20"/>
              </w:rPr>
            </w:pPr>
            <w:r w:rsidRPr="00CD0E29">
              <w:rPr>
                <w:rFonts w:cs="Arial"/>
                <w:sz w:val="20"/>
                <w:szCs w:val="20"/>
              </w:rPr>
              <w:t>_</w:t>
            </w:r>
          </w:p>
        </w:tc>
        <w:tc>
          <w:tcPr>
            <w:tcW w:w="1540" w:type="dxa"/>
            <w:tcBorders>
              <w:top w:val="single" w:sz="4" w:space="0" w:color="000000" w:themeColor="text1"/>
              <w:left w:val="nil"/>
            </w:tcBorders>
            <w:tcMar>
              <w:top w:w="100" w:type="dxa"/>
              <w:left w:w="100" w:type="dxa"/>
              <w:bottom w:w="100" w:type="dxa"/>
              <w:right w:w="100" w:type="dxa"/>
            </w:tcMar>
          </w:tcPr>
          <w:p w14:paraId="165E0547" w14:textId="77777777" w:rsidR="00AA4E85" w:rsidRPr="00CD0E29" w:rsidRDefault="00AA4E85" w:rsidP="00075967">
            <w:pPr>
              <w:jc w:val="center"/>
              <w:rPr>
                <w:rFonts w:cs="Arial"/>
                <w:sz w:val="20"/>
                <w:szCs w:val="20"/>
              </w:rPr>
            </w:pPr>
            <w:r w:rsidRPr="00CD0E29">
              <w:rPr>
                <w:rFonts w:cs="Arial"/>
                <w:sz w:val="20"/>
                <w:szCs w:val="20"/>
              </w:rPr>
              <w:t>Required</w:t>
            </w:r>
          </w:p>
        </w:tc>
      </w:tr>
      <w:tr w:rsidR="00AA4E85" w:rsidRPr="00CD0E29" w14:paraId="03132BB6"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7393691A" w14:textId="77777777" w:rsidR="00AA4E85" w:rsidRPr="00CD0E29" w:rsidRDefault="00AA4E85" w:rsidP="00075967">
            <w:pPr>
              <w:rPr>
                <w:rFonts w:cs="Arial"/>
                <w:sz w:val="20"/>
                <w:szCs w:val="20"/>
              </w:rPr>
            </w:pPr>
            <w:r w:rsidRPr="00CD0E29">
              <w:rPr>
                <w:rFonts w:cs="Arial"/>
                <w:sz w:val="20"/>
                <w:szCs w:val="20"/>
              </w:rPr>
              <w:t>8</w:t>
            </w:r>
          </w:p>
        </w:tc>
        <w:tc>
          <w:tcPr>
            <w:tcW w:w="2435" w:type="dxa"/>
            <w:tcBorders>
              <w:top w:val="single" w:sz="4" w:space="0" w:color="000000" w:themeColor="text1"/>
              <w:left w:val="nil"/>
              <w:right w:val="nil"/>
            </w:tcBorders>
            <w:tcMar>
              <w:top w:w="100" w:type="dxa"/>
              <w:left w:w="100" w:type="dxa"/>
              <w:bottom w:w="100" w:type="dxa"/>
              <w:right w:w="100" w:type="dxa"/>
            </w:tcMar>
          </w:tcPr>
          <w:p w14:paraId="79340FE4" w14:textId="77777777" w:rsidR="00AA4E85" w:rsidRPr="00CD0E29" w:rsidRDefault="00AA4E85" w:rsidP="00075967">
            <w:pPr>
              <w:rPr>
                <w:rFonts w:cs="Arial"/>
                <w:sz w:val="20"/>
                <w:szCs w:val="20"/>
              </w:rPr>
            </w:pPr>
            <w:r w:rsidRPr="00CD0E29">
              <w:rPr>
                <w:rFonts w:cs="Arial"/>
                <w:sz w:val="20"/>
                <w:szCs w:val="20"/>
              </w:rPr>
              <w:t>PII Controller Certificate</w:t>
            </w:r>
          </w:p>
        </w:tc>
        <w:tc>
          <w:tcPr>
            <w:tcW w:w="1395" w:type="dxa"/>
            <w:tcBorders>
              <w:top w:val="single" w:sz="4" w:space="0" w:color="000000" w:themeColor="text1"/>
              <w:left w:val="nil"/>
              <w:right w:val="nil"/>
            </w:tcBorders>
            <w:tcMar>
              <w:top w:w="100" w:type="dxa"/>
              <w:left w:w="100" w:type="dxa"/>
              <w:bottom w:w="100" w:type="dxa"/>
              <w:right w:w="100" w:type="dxa"/>
            </w:tcMar>
          </w:tcPr>
          <w:p w14:paraId="5D528AFF" w14:textId="77777777" w:rsidR="00AA4E85" w:rsidRPr="00CD0E29" w:rsidRDefault="00AA4E85" w:rsidP="00075967">
            <w:pPr>
              <w:jc w:val="center"/>
              <w:rPr>
                <w:rFonts w:cs="Arial"/>
                <w:sz w:val="20"/>
                <w:szCs w:val="20"/>
              </w:rPr>
            </w:pPr>
            <w:r w:rsidRPr="00CD0E29">
              <w:rPr>
                <w:rFonts w:cs="Arial"/>
                <w:sz w:val="20"/>
                <w:szCs w:val="20"/>
              </w:rPr>
              <w:t>Blob</w:t>
            </w:r>
          </w:p>
        </w:tc>
        <w:tc>
          <w:tcPr>
            <w:tcW w:w="2610" w:type="dxa"/>
            <w:tcBorders>
              <w:top w:val="single" w:sz="4" w:space="0" w:color="000000" w:themeColor="text1"/>
              <w:left w:val="nil"/>
              <w:right w:val="nil"/>
            </w:tcBorders>
            <w:tcMar>
              <w:top w:w="100" w:type="dxa"/>
              <w:left w:w="100" w:type="dxa"/>
              <w:bottom w:w="100" w:type="dxa"/>
              <w:right w:w="100" w:type="dxa"/>
            </w:tcMar>
          </w:tcPr>
          <w:p w14:paraId="42AB4B80" w14:textId="1876203E" w:rsidR="00AA4E85" w:rsidRPr="00CD0E29" w:rsidRDefault="00AA4E85" w:rsidP="00075967">
            <w:pPr>
              <w:jc w:val="center"/>
              <w:rPr>
                <w:rFonts w:cs="Arial"/>
                <w:sz w:val="20"/>
                <w:szCs w:val="20"/>
              </w:rPr>
            </w:pPr>
            <w:proofErr w:type="spellStart"/>
            <w:r w:rsidRPr="00CD0E29">
              <w:rPr>
                <w:rFonts w:cs="Arial"/>
                <w:sz w:val="20"/>
                <w:szCs w:val="20"/>
              </w:rPr>
              <w:t>piiController_ssl</w:t>
            </w:r>
            <w:proofErr w:type="spellEnd"/>
            <w:r w:rsidR="001F27DA">
              <w:rPr>
                <w:rFonts w:cs="Arial"/>
                <w:sz w:val="20"/>
                <w:szCs w:val="20"/>
              </w:rPr>
              <w:t xml:space="preserve"> </w:t>
            </w:r>
            <w:r w:rsidRPr="00CD0E29">
              <w:rPr>
                <w:rFonts w:cs="Arial"/>
                <w:sz w:val="20"/>
                <w:szCs w:val="20"/>
              </w:rPr>
              <w:t>certificate</w:t>
            </w:r>
          </w:p>
        </w:tc>
        <w:tc>
          <w:tcPr>
            <w:tcW w:w="1380" w:type="dxa"/>
            <w:tcBorders>
              <w:top w:val="single" w:sz="4" w:space="0" w:color="000000" w:themeColor="text1"/>
              <w:left w:val="nil"/>
              <w:right w:val="nil"/>
            </w:tcBorders>
            <w:tcMar>
              <w:top w:w="100" w:type="dxa"/>
              <w:left w:w="100" w:type="dxa"/>
              <w:bottom w:w="100" w:type="dxa"/>
              <w:right w:w="100" w:type="dxa"/>
            </w:tcMar>
          </w:tcPr>
          <w:p w14:paraId="407C58CC" w14:textId="77777777" w:rsidR="00AA4E85" w:rsidRPr="00CD0E29" w:rsidRDefault="00AA4E85" w:rsidP="00075967">
            <w:pPr>
              <w:jc w:val="center"/>
              <w:rPr>
                <w:rFonts w:cs="Arial"/>
                <w:sz w:val="20"/>
                <w:szCs w:val="20"/>
              </w:rPr>
            </w:pPr>
            <w:r w:rsidRPr="00CD0E29">
              <w:rPr>
                <w:rFonts w:cs="Arial"/>
                <w:sz w:val="20"/>
                <w:szCs w:val="20"/>
              </w:rPr>
              <w:t>A capture Website SSL</w:t>
            </w:r>
          </w:p>
        </w:tc>
        <w:tc>
          <w:tcPr>
            <w:tcW w:w="1540" w:type="dxa"/>
            <w:tcBorders>
              <w:top w:val="single" w:sz="4" w:space="0" w:color="000000" w:themeColor="text1"/>
              <w:left w:val="nil"/>
            </w:tcBorders>
            <w:tcMar>
              <w:top w:w="100" w:type="dxa"/>
              <w:left w:w="100" w:type="dxa"/>
              <w:bottom w:w="100" w:type="dxa"/>
              <w:right w:w="100" w:type="dxa"/>
            </w:tcMar>
          </w:tcPr>
          <w:p w14:paraId="7D676824" w14:textId="77777777" w:rsidR="00AA4E85" w:rsidRPr="00CD0E29" w:rsidRDefault="00AA4E85" w:rsidP="00075967">
            <w:pPr>
              <w:jc w:val="center"/>
              <w:rPr>
                <w:rFonts w:cs="Arial"/>
                <w:sz w:val="20"/>
                <w:szCs w:val="20"/>
              </w:rPr>
            </w:pPr>
            <w:r w:rsidRPr="00CD0E29">
              <w:rPr>
                <w:rFonts w:cs="Arial"/>
                <w:sz w:val="20"/>
                <w:szCs w:val="20"/>
              </w:rPr>
              <w:t>MUST</w:t>
            </w:r>
          </w:p>
        </w:tc>
      </w:tr>
      <w:tr w:rsidR="00AA4E85" w:rsidRPr="00CD0E29" w14:paraId="7C153335" w14:textId="77777777" w:rsidTr="00075967">
        <w:trPr>
          <w:trHeight w:val="740"/>
        </w:trPr>
        <w:tc>
          <w:tcPr>
            <w:tcW w:w="900" w:type="dxa"/>
            <w:tcBorders>
              <w:top w:val="single" w:sz="4" w:space="0" w:color="000000" w:themeColor="text1"/>
              <w:right w:val="nil"/>
            </w:tcBorders>
            <w:tcMar>
              <w:top w:w="100" w:type="dxa"/>
              <w:left w:w="100" w:type="dxa"/>
              <w:bottom w:w="100" w:type="dxa"/>
              <w:right w:w="100" w:type="dxa"/>
            </w:tcMar>
          </w:tcPr>
          <w:p w14:paraId="1180978C" w14:textId="77777777" w:rsidR="00AA4E85" w:rsidRPr="00CD0E29" w:rsidRDefault="00AA4E85" w:rsidP="00075967">
            <w:pPr>
              <w:rPr>
                <w:rFonts w:cs="Arial"/>
                <w:sz w:val="20"/>
                <w:szCs w:val="20"/>
              </w:rPr>
            </w:pPr>
          </w:p>
        </w:tc>
        <w:tc>
          <w:tcPr>
            <w:tcW w:w="2435" w:type="dxa"/>
            <w:tcBorders>
              <w:top w:val="single" w:sz="4" w:space="0" w:color="000000" w:themeColor="text1"/>
              <w:left w:val="nil"/>
              <w:right w:val="nil"/>
            </w:tcBorders>
            <w:tcMar>
              <w:top w:w="100" w:type="dxa"/>
              <w:left w:w="100" w:type="dxa"/>
              <w:bottom w:w="100" w:type="dxa"/>
              <w:right w:w="100" w:type="dxa"/>
            </w:tcMar>
          </w:tcPr>
          <w:p w14:paraId="0D4292B5" w14:textId="77777777" w:rsidR="00AA4E85" w:rsidRPr="00CD0E29" w:rsidRDefault="00AA4E85" w:rsidP="00075967">
            <w:pPr>
              <w:rPr>
                <w:rFonts w:cs="Arial"/>
                <w:sz w:val="20"/>
                <w:szCs w:val="20"/>
              </w:rPr>
            </w:pPr>
            <w:r w:rsidRPr="00CD0E29">
              <w:rPr>
                <w:rFonts w:cs="Arial"/>
                <w:sz w:val="20"/>
                <w:szCs w:val="20"/>
              </w:rPr>
              <w:t xml:space="preserve">means of accessing privacy rights and controls </w:t>
            </w:r>
          </w:p>
        </w:tc>
        <w:tc>
          <w:tcPr>
            <w:tcW w:w="1395" w:type="dxa"/>
            <w:tcBorders>
              <w:top w:val="single" w:sz="4" w:space="0" w:color="000000" w:themeColor="text1"/>
              <w:left w:val="nil"/>
              <w:right w:val="nil"/>
            </w:tcBorders>
            <w:tcMar>
              <w:top w:w="100" w:type="dxa"/>
              <w:left w:w="100" w:type="dxa"/>
              <w:bottom w:w="100" w:type="dxa"/>
              <w:right w:w="100" w:type="dxa"/>
            </w:tcMar>
          </w:tcPr>
          <w:p w14:paraId="4E02E0C0" w14:textId="77777777" w:rsidR="00AA4E85" w:rsidRPr="00CD0E29" w:rsidRDefault="00AA4E85" w:rsidP="00075967">
            <w:pPr>
              <w:jc w:val="center"/>
              <w:rPr>
                <w:rFonts w:cs="Arial"/>
                <w:sz w:val="20"/>
                <w:szCs w:val="20"/>
              </w:rPr>
            </w:pPr>
            <w:proofErr w:type="spellStart"/>
            <w:r w:rsidRPr="00CD0E29">
              <w:rPr>
                <w:rFonts w:cs="Arial"/>
                <w:sz w:val="20"/>
                <w:szCs w:val="20"/>
              </w:rPr>
              <w:t>VarChar</w:t>
            </w:r>
            <w:proofErr w:type="spellEnd"/>
            <w:r w:rsidRPr="00CD0E29">
              <w:rPr>
                <w:rFonts w:cs="Arial"/>
                <w:sz w:val="20"/>
                <w:szCs w:val="20"/>
              </w:rPr>
              <w:t>(max)</w:t>
            </w:r>
          </w:p>
        </w:tc>
        <w:tc>
          <w:tcPr>
            <w:tcW w:w="2610" w:type="dxa"/>
            <w:tcBorders>
              <w:top w:val="single" w:sz="4" w:space="0" w:color="000000" w:themeColor="text1"/>
              <w:left w:val="nil"/>
              <w:right w:val="nil"/>
            </w:tcBorders>
            <w:tcMar>
              <w:top w:w="100" w:type="dxa"/>
              <w:left w:w="100" w:type="dxa"/>
              <w:bottom w:w="100" w:type="dxa"/>
              <w:right w:w="100" w:type="dxa"/>
            </w:tcMar>
          </w:tcPr>
          <w:p w14:paraId="5F750C07" w14:textId="77777777" w:rsidR="00AA4E85" w:rsidRPr="00CD0E29" w:rsidRDefault="00AA4E85" w:rsidP="00075967">
            <w:pPr>
              <w:jc w:val="center"/>
              <w:rPr>
                <w:rFonts w:cs="Arial"/>
                <w:sz w:val="20"/>
                <w:szCs w:val="20"/>
              </w:rPr>
            </w:pPr>
            <w:proofErr w:type="spellStart"/>
            <w:r w:rsidRPr="00CD0E29">
              <w:rPr>
                <w:rFonts w:cs="Arial"/>
                <w:sz w:val="20"/>
                <w:szCs w:val="20"/>
              </w:rPr>
              <w:t>pcpL</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285B4010" w14:textId="77777777" w:rsidR="00AA4E85" w:rsidRPr="00CD0E29" w:rsidRDefault="00AA4E85" w:rsidP="00075967">
            <w:pPr>
              <w:jc w:val="center"/>
              <w:rPr>
                <w:rFonts w:cs="Arial"/>
                <w:sz w:val="20"/>
                <w:szCs w:val="20"/>
              </w:rPr>
            </w:pPr>
            <w:r w:rsidRPr="00CD0E29">
              <w:rPr>
                <w:rFonts w:cs="Arial"/>
                <w:sz w:val="20"/>
                <w:szCs w:val="20"/>
              </w:rPr>
              <w:t>The end point address for privacy information and service access</w:t>
            </w:r>
          </w:p>
        </w:tc>
        <w:tc>
          <w:tcPr>
            <w:tcW w:w="1540" w:type="dxa"/>
            <w:tcBorders>
              <w:top w:val="single" w:sz="4" w:space="0" w:color="000000" w:themeColor="text1"/>
              <w:left w:val="nil"/>
            </w:tcBorders>
            <w:tcMar>
              <w:top w:w="100" w:type="dxa"/>
              <w:left w:w="100" w:type="dxa"/>
              <w:bottom w:w="100" w:type="dxa"/>
              <w:right w:w="100" w:type="dxa"/>
            </w:tcMar>
          </w:tcPr>
          <w:p w14:paraId="4FB55F48" w14:textId="77777777" w:rsidR="00AA4E85" w:rsidRPr="00CD0E29" w:rsidRDefault="00AA4E85" w:rsidP="00075967">
            <w:pPr>
              <w:jc w:val="center"/>
              <w:rPr>
                <w:rFonts w:cs="Arial"/>
                <w:sz w:val="20"/>
                <w:szCs w:val="20"/>
              </w:rPr>
            </w:pPr>
            <w:r w:rsidRPr="00CD0E29">
              <w:rPr>
                <w:rFonts w:cs="Arial"/>
                <w:sz w:val="20"/>
                <w:szCs w:val="20"/>
              </w:rPr>
              <w:t>MUST</w:t>
            </w:r>
          </w:p>
        </w:tc>
      </w:tr>
      <w:tr w:rsidR="00AA4E85" w:rsidRPr="00CD0E29" w14:paraId="66DCD896" w14:textId="77777777" w:rsidTr="00075967">
        <w:trPr>
          <w:trHeight w:val="1010"/>
        </w:trPr>
        <w:tc>
          <w:tcPr>
            <w:tcW w:w="900" w:type="dxa"/>
            <w:tcBorders>
              <w:top w:val="single" w:sz="4" w:space="0" w:color="000000" w:themeColor="text1"/>
              <w:right w:val="nil"/>
            </w:tcBorders>
            <w:tcMar>
              <w:top w:w="100" w:type="dxa"/>
              <w:left w:w="100" w:type="dxa"/>
              <w:bottom w:w="100" w:type="dxa"/>
              <w:right w:w="100" w:type="dxa"/>
            </w:tcMar>
          </w:tcPr>
          <w:p w14:paraId="545A613A" w14:textId="77777777" w:rsidR="00AA4E85" w:rsidRPr="00CD0E29" w:rsidRDefault="00AA4E85" w:rsidP="00075967">
            <w:pPr>
              <w:rPr>
                <w:rFonts w:cs="Arial"/>
                <w:sz w:val="20"/>
                <w:szCs w:val="20"/>
              </w:rPr>
            </w:pPr>
            <w:r w:rsidRPr="00CD0E29">
              <w:rPr>
                <w:rFonts w:cs="Arial"/>
                <w:sz w:val="20"/>
                <w:szCs w:val="20"/>
              </w:rPr>
              <w:t xml:space="preserve"> 9</w:t>
            </w:r>
          </w:p>
        </w:tc>
        <w:tc>
          <w:tcPr>
            <w:tcW w:w="2435" w:type="dxa"/>
            <w:tcBorders>
              <w:top w:val="single" w:sz="4" w:space="0" w:color="000000" w:themeColor="text1"/>
              <w:left w:val="nil"/>
              <w:right w:val="nil"/>
            </w:tcBorders>
            <w:tcMar>
              <w:top w:w="100" w:type="dxa"/>
              <w:left w:w="100" w:type="dxa"/>
              <w:bottom w:w="100" w:type="dxa"/>
              <w:right w:w="100" w:type="dxa"/>
            </w:tcMar>
          </w:tcPr>
          <w:p w14:paraId="2A50DA58" w14:textId="77777777" w:rsidR="00AA4E85" w:rsidRPr="00CD0E29" w:rsidRDefault="00AA4E85" w:rsidP="00075967">
            <w:pPr>
              <w:rPr>
                <w:rFonts w:cs="Arial"/>
                <w:sz w:val="20"/>
                <w:szCs w:val="20"/>
              </w:rPr>
            </w:pPr>
            <w:r w:rsidRPr="00CD0E29">
              <w:rPr>
                <w:rFonts w:cs="Arial"/>
                <w:sz w:val="20"/>
                <w:szCs w:val="20"/>
              </w:rPr>
              <w:t>Service Privacy Access Point (SPAP)-Other</w:t>
            </w:r>
          </w:p>
        </w:tc>
        <w:tc>
          <w:tcPr>
            <w:tcW w:w="1395" w:type="dxa"/>
            <w:tcBorders>
              <w:top w:val="single" w:sz="4" w:space="0" w:color="000000" w:themeColor="text1"/>
              <w:left w:val="nil"/>
              <w:right w:val="nil"/>
            </w:tcBorders>
            <w:tcMar>
              <w:top w:w="100" w:type="dxa"/>
              <w:left w:w="100" w:type="dxa"/>
              <w:bottom w:w="100" w:type="dxa"/>
              <w:right w:w="100" w:type="dxa"/>
            </w:tcMar>
          </w:tcPr>
          <w:p w14:paraId="7AD52780" w14:textId="77777777" w:rsidR="00AA4E85" w:rsidRPr="00CD0E29" w:rsidRDefault="00AA4E85" w:rsidP="00075967">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5E5948EB" w14:textId="77777777" w:rsidR="00AA4E85" w:rsidRPr="00CD0E29" w:rsidRDefault="00AA4E85" w:rsidP="00075967">
            <w:pPr>
              <w:jc w:val="center"/>
              <w:rPr>
                <w:rFonts w:cs="Arial"/>
                <w:sz w:val="20"/>
                <w:szCs w:val="20"/>
              </w:rPr>
            </w:pPr>
            <w:proofErr w:type="spellStart"/>
            <w:r w:rsidRPr="00CD0E29">
              <w:rPr>
                <w:rFonts w:cs="Arial"/>
                <w:sz w:val="20"/>
                <w:szCs w:val="20"/>
              </w:rPr>
              <w:t>pcp_other</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224F3D1C" w14:textId="77777777" w:rsidR="00AA4E85" w:rsidRPr="00CD0E29" w:rsidRDefault="00AA4E85" w:rsidP="00075967">
            <w:pPr>
              <w:jc w:val="center"/>
              <w:rPr>
                <w:rFonts w:cs="Arial"/>
                <w:sz w:val="20"/>
                <w:szCs w:val="20"/>
              </w:rPr>
            </w:pPr>
            <w:r w:rsidRPr="00CD0E29">
              <w:rPr>
                <w:rFonts w:cs="Arial"/>
                <w:sz w:val="20"/>
                <w:szCs w:val="20"/>
              </w:rPr>
              <w:t>Other</w:t>
            </w:r>
          </w:p>
        </w:tc>
        <w:tc>
          <w:tcPr>
            <w:tcW w:w="1540" w:type="dxa"/>
            <w:tcBorders>
              <w:top w:val="single" w:sz="4" w:space="0" w:color="000000" w:themeColor="text1"/>
              <w:left w:val="nil"/>
            </w:tcBorders>
            <w:tcMar>
              <w:top w:w="100" w:type="dxa"/>
              <w:left w:w="100" w:type="dxa"/>
              <w:bottom w:w="100" w:type="dxa"/>
              <w:right w:w="100" w:type="dxa"/>
            </w:tcMar>
          </w:tcPr>
          <w:p w14:paraId="54E81790" w14:textId="77777777" w:rsidR="00AA4E85" w:rsidRPr="00CD0E29" w:rsidRDefault="00AA4E85" w:rsidP="00075967">
            <w:pPr>
              <w:jc w:val="center"/>
              <w:rPr>
                <w:rFonts w:cs="Arial"/>
                <w:sz w:val="20"/>
                <w:szCs w:val="20"/>
              </w:rPr>
            </w:pPr>
            <w:r w:rsidRPr="00CD0E29">
              <w:rPr>
                <w:rFonts w:cs="Arial"/>
                <w:sz w:val="20"/>
                <w:szCs w:val="20"/>
              </w:rPr>
              <w:t>**</w:t>
            </w:r>
          </w:p>
        </w:tc>
      </w:tr>
      <w:tr w:rsidR="00AA4E85" w:rsidRPr="00CD0E29" w14:paraId="253CDCC4" w14:textId="77777777" w:rsidTr="00075967">
        <w:trPr>
          <w:trHeight w:val="1010"/>
        </w:trPr>
        <w:tc>
          <w:tcPr>
            <w:tcW w:w="900" w:type="dxa"/>
            <w:tcBorders>
              <w:top w:val="single" w:sz="4" w:space="0" w:color="000000" w:themeColor="text1"/>
              <w:right w:val="nil"/>
            </w:tcBorders>
            <w:tcMar>
              <w:top w:w="100" w:type="dxa"/>
              <w:left w:w="100" w:type="dxa"/>
              <w:bottom w:w="100" w:type="dxa"/>
              <w:right w:w="100" w:type="dxa"/>
            </w:tcMar>
          </w:tcPr>
          <w:p w14:paraId="416DD433" w14:textId="77777777" w:rsidR="00AA4E85" w:rsidRPr="00CD0E29" w:rsidRDefault="00AA4E85" w:rsidP="00075967">
            <w:pPr>
              <w:rPr>
                <w:rFonts w:cs="Arial"/>
                <w:sz w:val="20"/>
                <w:szCs w:val="20"/>
              </w:rPr>
            </w:pPr>
            <w:r w:rsidRPr="00CD0E29">
              <w:rPr>
                <w:rFonts w:cs="Arial"/>
                <w:sz w:val="20"/>
                <w:szCs w:val="20"/>
              </w:rPr>
              <w:t>10</w:t>
            </w:r>
          </w:p>
        </w:tc>
        <w:tc>
          <w:tcPr>
            <w:tcW w:w="2435" w:type="dxa"/>
            <w:tcBorders>
              <w:top w:val="single" w:sz="4" w:space="0" w:color="000000" w:themeColor="text1"/>
              <w:left w:val="nil"/>
              <w:right w:val="nil"/>
            </w:tcBorders>
            <w:tcMar>
              <w:top w:w="100" w:type="dxa"/>
              <w:left w:w="100" w:type="dxa"/>
              <w:bottom w:w="100" w:type="dxa"/>
              <w:right w:w="100" w:type="dxa"/>
            </w:tcMar>
          </w:tcPr>
          <w:p w14:paraId="2D727CF9" w14:textId="77777777" w:rsidR="00AA4E85" w:rsidRPr="00CD0E29" w:rsidRDefault="00AA4E85" w:rsidP="00075967">
            <w:pPr>
              <w:rPr>
                <w:rFonts w:cs="Arial"/>
                <w:sz w:val="20"/>
                <w:szCs w:val="20"/>
              </w:rPr>
            </w:pPr>
            <w:r w:rsidRPr="00CD0E29">
              <w:rPr>
                <w:rFonts w:cs="Arial"/>
                <w:sz w:val="20"/>
                <w:szCs w:val="20"/>
              </w:rPr>
              <w:t>Privacy Contact Point Types (</w:t>
            </w:r>
            <w:proofErr w:type="spellStart"/>
            <w:r w:rsidRPr="00CD0E29">
              <w:rPr>
                <w:rFonts w:cs="Arial"/>
                <w:sz w:val="20"/>
                <w:szCs w:val="20"/>
              </w:rPr>
              <w:t>pcpT</w:t>
            </w:r>
            <w:proofErr w:type="spellEnd"/>
            <w:r w:rsidRPr="00CD0E29">
              <w:rPr>
                <w:rFonts w:cs="Arial"/>
                <w:sz w:val="20"/>
                <w:szCs w:val="20"/>
              </w:rPr>
              <w:t>)</w:t>
            </w:r>
          </w:p>
        </w:tc>
        <w:tc>
          <w:tcPr>
            <w:tcW w:w="1395" w:type="dxa"/>
            <w:tcBorders>
              <w:top w:val="single" w:sz="4" w:space="0" w:color="000000" w:themeColor="text1"/>
              <w:left w:val="nil"/>
              <w:right w:val="nil"/>
            </w:tcBorders>
            <w:tcMar>
              <w:top w:w="100" w:type="dxa"/>
              <w:left w:w="100" w:type="dxa"/>
              <w:bottom w:w="100" w:type="dxa"/>
              <w:right w:w="100" w:type="dxa"/>
            </w:tcMar>
          </w:tcPr>
          <w:p w14:paraId="1C312B22" w14:textId="77777777" w:rsidR="00AA4E85" w:rsidRPr="00CD0E29" w:rsidRDefault="00AA4E85" w:rsidP="00075967">
            <w:pPr>
              <w:jc w:val="center"/>
              <w:rPr>
                <w:rFonts w:cs="Arial"/>
                <w:sz w:val="20"/>
                <w:szCs w:val="20"/>
              </w:rPr>
            </w:pPr>
            <w:r w:rsidRPr="00CD0E29">
              <w:rPr>
                <w:rFonts w:cs="Arial"/>
                <w:sz w:val="20"/>
                <w:szCs w:val="20"/>
              </w:rPr>
              <w:t>Object</w:t>
            </w:r>
          </w:p>
        </w:tc>
        <w:tc>
          <w:tcPr>
            <w:tcW w:w="2610" w:type="dxa"/>
            <w:tcBorders>
              <w:top w:val="single" w:sz="4" w:space="0" w:color="000000" w:themeColor="text1"/>
              <w:left w:val="nil"/>
              <w:right w:val="nil"/>
            </w:tcBorders>
            <w:tcMar>
              <w:top w:w="100" w:type="dxa"/>
              <w:left w:w="100" w:type="dxa"/>
              <w:bottom w:w="100" w:type="dxa"/>
              <w:right w:w="100" w:type="dxa"/>
            </w:tcMar>
          </w:tcPr>
          <w:p w14:paraId="2550868D" w14:textId="77777777" w:rsidR="00AA4E85" w:rsidRPr="00CD0E29" w:rsidRDefault="00AA4E85" w:rsidP="00075967">
            <w:pPr>
              <w:jc w:val="center"/>
              <w:rPr>
                <w:rFonts w:cs="Arial"/>
                <w:sz w:val="20"/>
                <w:szCs w:val="20"/>
              </w:rPr>
            </w:pPr>
          </w:p>
        </w:tc>
        <w:tc>
          <w:tcPr>
            <w:tcW w:w="1380" w:type="dxa"/>
            <w:tcBorders>
              <w:top w:val="single" w:sz="4" w:space="0" w:color="000000" w:themeColor="text1"/>
              <w:left w:val="nil"/>
              <w:right w:val="nil"/>
            </w:tcBorders>
            <w:tcMar>
              <w:top w:w="100" w:type="dxa"/>
              <w:left w:w="100" w:type="dxa"/>
              <w:bottom w:w="100" w:type="dxa"/>
              <w:right w:w="100" w:type="dxa"/>
            </w:tcMar>
          </w:tcPr>
          <w:p w14:paraId="1D46A8D7" w14:textId="77777777" w:rsidR="00AA4E85" w:rsidRPr="00CD0E29" w:rsidRDefault="00AA4E85" w:rsidP="00075967">
            <w:pPr>
              <w:jc w:val="center"/>
              <w:rPr>
                <w:rFonts w:cs="Arial"/>
                <w:sz w:val="20"/>
                <w:szCs w:val="20"/>
              </w:rPr>
            </w:pPr>
            <w:proofErr w:type="spellStart"/>
            <w:r w:rsidRPr="00CD0E29">
              <w:rPr>
                <w:rFonts w:cs="Arial"/>
                <w:sz w:val="20"/>
                <w:szCs w:val="20"/>
              </w:rPr>
              <w:t>pcpType</w:t>
            </w:r>
            <w:proofErr w:type="spellEnd"/>
          </w:p>
        </w:tc>
        <w:tc>
          <w:tcPr>
            <w:tcW w:w="1540" w:type="dxa"/>
            <w:tcBorders>
              <w:top w:val="single" w:sz="4" w:space="0" w:color="000000" w:themeColor="text1"/>
              <w:left w:val="nil"/>
            </w:tcBorders>
            <w:tcMar>
              <w:top w:w="100" w:type="dxa"/>
              <w:left w:w="100" w:type="dxa"/>
              <w:bottom w:w="100" w:type="dxa"/>
              <w:right w:w="100" w:type="dxa"/>
            </w:tcMar>
          </w:tcPr>
          <w:p w14:paraId="3AC7FCDF" w14:textId="77777777" w:rsidR="00AA4E85" w:rsidRPr="00CD0E29" w:rsidRDefault="00AA4E85" w:rsidP="00075967">
            <w:pPr>
              <w:jc w:val="center"/>
              <w:rPr>
                <w:rFonts w:cs="Arial"/>
                <w:sz w:val="20"/>
                <w:szCs w:val="20"/>
              </w:rPr>
            </w:pPr>
          </w:p>
        </w:tc>
      </w:tr>
      <w:tr w:rsidR="00AA4E85" w:rsidRPr="00CD0E29" w14:paraId="221CFC10"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2AEE184E" w14:textId="77777777" w:rsidR="00AA4E85" w:rsidRPr="00CD0E29" w:rsidRDefault="00AA4E85" w:rsidP="00075967">
            <w:pPr>
              <w:rPr>
                <w:rFonts w:cs="Arial"/>
                <w:sz w:val="20"/>
                <w:szCs w:val="20"/>
              </w:rPr>
            </w:pPr>
            <w:r w:rsidRPr="00CD0E29">
              <w:rPr>
                <w:rFonts w:cs="Arial"/>
                <w:sz w:val="20"/>
                <w:szCs w:val="20"/>
              </w:rPr>
              <w:t xml:space="preserve"> </w:t>
            </w:r>
          </w:p>
        </w:tc>
        <w:tc>
          <w:tcPr>
            <w:tcW w:w="2435" w:type="dxa"/>
            <w:tcBorders>
              <w:top w:val="single" w:sz="4" w:space="0" w:color="000000" w:themeColor="text1"/>
              <w:left w:val="nil"/>
              <w:right w:val="nil"/>
            </w:tcBorders>
            <w:tcMar>
              <w:top w:w="100" w:type="dxa"/>
              <w:left w:w="100" w:type="dxa"/>
              <w:bottom w:w="100" w:type="dxa"/>
              <w:right w:w="100" w:type="dxa"/>
            </w:tcMar>
          </w:tcPr>
          <w:p w14:paraId="0B273EA8" w14:textId="77777777" w:rsidR="00AA4E85" w:rsidRPr="00CD0E29" w:rsidRDefault="00AA4E85" w:rsidP="00075967">
            <w:pPr>
              <w:rPr>
                <w:rFonts w:cs="Arial"/>
                <w:sz w:val="20"/>
                <w:szCs w:val="20"/>
              </w:rPr>
            </w:pPr>
            <w:r w:rsidRPr="00CD0E29">
              <w:rPr>
                <w:rFonts w:cs="Arial"/>
                <w:sz w:val="20"/>
                <w:szCs w:val="20"/>
              </w:rPr>
              <w:t>SPAP-MailAddress</w:t>
            </w:r>
          </w:p>
        </w:tc>
        <w:tc>
          <w:tcPr>
            <w:tcW w:w="1395" w:type="dxa"/>
            <w:tcBorders>
              <w:top w:val="single" w:sz="4" w:space="0" w:color="000000" w:themeColor="text1"/>
              <w:left w:val="nil"/>
              <w:right w:val="nil"/>
            </w:tcBorders>
            <w:tcMar>
              <w:top w:w="100" w:type="dxa"/>
              <w:left w:w="100" w:type="dxa"/>
              <w:bottom w:w="100" w:type="dxa"/>
              <w:right w:w="100" w:type="dxa"/>
            </w:tcMar>
          </w:tcPr>
          <w:p w14:paraId="7B9B7018" w14:textId="77777777" w:rsidR="00AA4E85" w:rsidRPr="00CD0E29" w:rsidRDefault="00AA4E85" w:rsidP="00075967">
            <w:pPr>
              <w:jc w:val="center"/>
              <w:rPr>
                <w:rFonts w:cs="Arial"/>
                <w:sz w:val="20"/>
                <w:szCs w:val="20"/>
              </w:rPr>
            </w:pPr>
            <w:r w:rsidRPr="00CD0E29">
              <w:rPr>
                <w:rFonts w:cs="Arial"/>
                <w:sz w:val="20"/>
                <w:szCs w:val="20"/>
              </w:rPr>
              <w:t>object</w:t>
            </w:r>
          </w:p>
        </w:tc>
        <w:tc>
          <w:tcPr>
            <w:tcW w:w="2610" w:type="dxa"/>
            <w:tcBorders>
              <w:top w:val="single" w:sz="4" w:space="0" w:color="000000" w:themeColor="text1"/>
              <w:left w:val="nil"/>
              <w:right w:val="nil"/>
            </w:tcBorders>
            <w:tcMar>
              <w:top w:w="100" w:type="dxa"/>
              <w:left w:w="100" w:type="dxa"/>
              <w:bottom w:w="100" w:type="dxa"/>
              <w:right w:w="100" w:type="dxa"/>
            </w:tcMar>
          </w:tcPr>
          <w:p w14:paraId="15284A59" w14:textId="77777777" w:rsidR="00AA4E85" w:rsidRPr="00CD0E29" w:rsidRDefault="00AA4E85" w:rsidP="00075967">
            <w:pPr>
              <w:jc w:val="center"/>
              <w:rPr>
                <w:rFonts w:cs="Arial"/>
                <w:sz w:val="20"/>
                <w:szCs w:val="20"/>
              </w:rPr>
            </w:pPr>
          </w:p>
        </w:tc>
        <w:tc>
          <w:tcPr>
            <w:tcW w:w="1380" w:type="dxa"/>
            <w:tcBorders>
              <w:top w:val="single" w:sz="4" w:space="0" w:color="000000" w:themeColor="text1"/>
              <w:left w:val="nil"/>
              <w:right w:val="nil"/>
            </w:tcBorders>
            <w:tcMar>
              <w:top w:w="100" w:type="dxa"/>
              <w:left w:w="100" w:type="dxa"/>
              <w:bottom w:w="100" w:type="dxa"/>
              <w:right w:w="100" w:type="dxa"/>
            </w:tcMar>
          </w:tcPr>
          <w:p w14:paraId="45B8F4F3" w14:textId="77777777" w:rsidR="00AA4E85" w:rsidRPr="00CD0E29" w:rsidRDefault="00AA4E85" w:rsidP="00075967">
            <w:pPr>
              <w:jc w:val="center"/>
              <w:rPr>
                <w:rFonts w:cs="Arial"/>
                <w:sz w:val="20"/>
                <w:szCs w:val="20"/>
              </w:rPr>
            </w:pPr>
            <w:r w:rsidRPr="00CD0E29">
              <w:rPr>
                <w:rFonts w:cs="Arial"/>
                <w:sz w:val="20"/>
                <w:szCs w:val="20"/>
              </w:rPr>
              <w:t>Mailing address</w:t>
            </w:r>
          </w:p>
        </w:tc>
        <w:tc>
          <w:tcPr>
            <w:tcW w:w="1540" w:type="dxa"/>
            <w:tcBorders>
              <w:top w:val="single" w:sz="4" w:space="0" w:color="000000" w:themeColor="text1"/>
              <w:left w:val="nil"/>
            </w:tcBorders>
            <w:tcMar>
              <w:top w:w="100" w:type="dxa"/>
              <w:left w:w="100" w:type="dxa"/>
              <w:bottom w:w="100" w:type="dxa"/>
              <w:right w:w="100" w:type="dxa"/>
            </w:tcMar>
          </w:tcPr>
          <w:p w14:paraId="6399E617" w14:textId="77777777" w:rsidR="00AA4E85" w:rsidRPr="00CD0E29" w:rsidRDefault="00AA4E85" w:rsidP="00075967">
            <w:pPr>
              <w:jc w:val="center"/>
              <w:rPr>
                <w:rFonts w:cs="Arial"/>
                <w:sz w:val="20"/>
                <w:szCs w:val="20"/>
              </w:rPr>
            </w:pPr>
            <w:r w:rsidRPr="00CD0E29">
              <w:rPr>
                <w:rFonts w:cs="Arial"/>
                <w:sz w:val="20"/>
                <w:szCs w:val="20"/>
              </w:rPr>
              <w:t>MUST</w:t>
            </w:r>
          </w:p>
        </w:tc>
      </w:tr>
      <w:tr w:rsidR="00AA4E85" w:rsidRPr="00CD0E29" w14:paraId="3050D2D4"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4CFEC761" w14:textId="77777777" w:rsidR="00AA4E85" w:rsidRPr="00CD0E29" w:rsidRDefault="00AA4E85" w:rsidP="00075967">
            <w:pPr>
              <w:rPr>
                <w:rFonts w:cs="Arial"/>
                <w:sz w:val="20"/>
                <w:szCs w:val="20"/>
              </w:rPr>
            </w:pPr>
            <w:r w:rsidRPr="00CD0E29">
              <w:rPr>
                <w:rFonts w:cs="Arial"/>
                <w:sz w:val="20"/>
                <w:szCs w:val="20"/>
              </w:rPr>
              <w:t xml:space="preserve"> </w:t>
            </w:r>
          </w:p>
        </w:tc>
        <w:tc>
          <w:tcPr>
            <w:tcW w:w="2435" w:type="dxa"/>
            <w:tcBorders>
              <w:top w:val="single" w:sz="4" w:space="0" w:color="000000" w:themeColor="text1"/>
              <w:left w:val="nil"/>
              <w:right w:val="nil"/>
            </w:tcBorders>
            <w:tcMar>
              <w:top w:w="100" w:type="dxa"/>
              <w:left w:w="100" w:type="dxa"/>
              <w:bottom w:w="100" w:type="dxa"/>
              <w:right w:w="100" w:type="dxa"/>
            </w:tcMar>
          </w:tcPr>
          <w:p w14:paraId="6533BEB6" w14:textId="77777777" w:rsidR="00AA4E85" w:rsidRPr="00CD0E29" w:rsidRDefault="00AA4E85" w:rsidP="00075967">
            <w:pPr>
              <w:rPr>
                <w:rFonts w:cs="Arial"/>
                <w:sz w:val="20"/>
                <w:szCs w:val="20"/>
              </w:rPr>
            </w:pPr>
            <w:r w:rsidRPr="00CD0E29">
              <w:rPr>
                <w:rFonts w:cs="Arial"/>
                <w:sz w:val="20"/>
                <w:szCs w:val="20"/>
              </w:rPr>
              <w:t>SPAP-Profile</w:t>
            </w:r>
          </w:p>
        </w:tc>
        <w:tc>
          <w:tcPr>
            <w:tcW w:w="1395" w:type="dxa"/>
            <w:tcBorders>
              <w:top w:val="single" w:sz="4" w:space="0" w:color="000000" w:themeColor="text1"/>
              <w:left w:val="nil"/>
              <w:right w:val="nil"/>
            </w:tcBorders>
            <w:tcMar>
              <w:top w:w="100" w:type="dxa"/>
              <w:left w:w="100" w:type="dxa"/>
              <w:bottom w:w="100" w:type="dxa"/>
              <w:right w:w="100" w:type="dxa"/>
            </w:tcMar>
          </w:tcPr>
          <w:p w14:paraId="0D282A3B" w14:textId="77777777" w:rsidR="00AA4E85" w:rsidRPr="00CD0E29" w:rsidRDefault="00AA4E85" w:rsidP="00075967">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58E8D24E" w14:textId="77777777" w:rsidR="00AA4E85" w:rsidRPr="00CD0E29" w:rsidRDefault="00AA4E85" w:rsidP="00075967">
            <w:pPr>
              <w:jc w:val="center"/>
              <w:rPr>
                <w:rFonts w:cs="Arial"/>
                <w:sz w:val="20"/>
                <w:szCs w:val="20"/>
              </w:rPr>
            </w:pPr>
            <w:proofErr w:type="spellStart"/>
            <w:r w:rsidRPr="00CD0E29">
              <w:rPr>
                <w:rFonts w:cs="Arial"/>
                <w:sz w:val="20"/>
                <w:szCs w:val="20"/>
              </w:rPr>
              <w:t>pcpProfile</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76D8CF00" w14:textId="77777777" w:rsidR="00AA4E85" w:rsidRPr="00CD0E29" w:rsidRDefault="00AA4E85" w:rsidP="00075967">
            <w:pPr>
              <w:jc w:val="center"/>
              <w:rPr>
                <w:rFonts w:cs="Arial"/>
                <w:sz w:val="20"/>
                <w:szCs w:val="20"/>
              </w:rPr>
            </w:pPr>
            <w:r w:rsidRPr="00CD0E29">
              <w:rPr>
                <w:rFonts w:cs="Arial"/>
                <w:sz w:val="20"/>
                <w:szCs w:val="20"/>
              </w:rPr>
              <w:t>Privacy Access Point Profile</w:t>
            </w:r>
          </w:p>
        </w:tc>
        <w:tc>
          <w:tcPr>
            <w:tcW w:w="1540" w:type="dxa"/>
            <w:tcBorders>
              <w:top w:val="single" w:sz="4" w:space="0" w:color="000000" w:themeColor="text1"/>
              <w:left w:val="nil"/>
            </w:tcBorders>
            <w:tcMar>
              <w:top w:w="100" w:type="dxa"/>
              <w:left w:w="100" w:type="dxa"/>
              <w:bottom w:w="100" w:type="dxa"/>
              <w:right w:w="100" w:type="dxa"/>
            </w:tcMar>
          </w:tcPr>
          <w:p w14:paraId="768A3CF1" w14:textId="77777777" w:rsidR="00AA4E85" w:rsidRPr="00CD0E29" w:rsidRDefault="00AA4E85" w:rsidP="00075967">
            <w:pPr>
              <w:jc w:val="center"/>
              <w:rPr>
                <w:rFonts w:cs="Arial"/>
                <w:sz w:val="20"/>
                <w:szCs w:val="20"/>
              </w:rPr>
            </w:pPr>
            <w:r w:rsidRPr="00CD0E29">
              <w:rPr>
                <w:rFonts w:cs="Arial"/>
                <w:sz w:val="20"/>
                <w:szCs w:val="20"/>
              </w:rPr>
              <w:t>**</w:t>
            </w:r>
          </w:p>
        </w:tc>
      </w:tr>
      <w:tr w:rsidR="00AA4E85" w:rsidRPr="00CD0E29" w14:paraId="548DF6EC"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27B4CA70" w14:textId="77777777" w:rsidR="00AA4E85" w:rsidRPr="00CD0E29" w:rsidRDefault="00AA4E85" w:rsidP="00075967">
            <w:pPr>
              <w:rPr>
                <w:rFonts w:cs="Arial"/>
                <w:sz w:val="20"/>
                <w:szCs w:val="20"/>
              </w:rPr>
            </w:pPr>
            <w:r w:rsidRPr="00CD0E29">
              <w:rPr>
                <w:rFonts w:cs="Arial"/>
                <w:sz w:val="20"/>
                <w:szCs w:val="20"/>
              </w:rPr>
              <w:t xml:space="preserve"> </w:t>
            </w:r>
          </w:p>
        </w:tc>
        <w:tc>
          <w:tcPr>
            <w:tcW w:w="2435" w:type="dxa"/>
            <w:tcBorders>
              <w:top w:val="single" w:sz="4" w:space="0" w:color="000000" w:themeColor="text1"/>
              <w:left w:val="nil"/>
              <w:right w:val="nil"/>
            </w:tcBorders>
            <w:tcMar>
              <w:top w:w="100" w:type="dxa"/>
              <w:left w:w="100" w:type="dxa"/>
              <w:bottom w:w="100" w:type="dxa"/>
              <w:right w:w="100" w:type="dxa"/>
            </w:tcMar>
          </w:tcPr>
          <w:p w14:paraId="5DC6DFBC" w14:textId="77777777" w:rsidR="00AA4E85" w:rsidRPr="00CD0E29" w:rsidRDefault="00AA4E85" w:rsidP="00075967">
            <w:pPr>
              <w:rPr>
                <w:rFonts w:cs="Arial"/>
                <w:sz w:val="20"/>
                <w:szCs w:val="20"/>
              </w:rPr>
            </w:pPr>
            <w:r w:rsidRPr="00CD0E29">
              <w:rPr>
                <w:rFonts w:cs="Arial"/>
                <w:sz w:val="20"/>
                <w:szCs w:val="20"/>
              </w:rPr>
              <w:t>SPAP-InPerson</w:t>
            </w:r>
          </w:p>
        </w:tc>
        <w:tc>
          <w:tcPr>
            <w:tcW w:w="1395" w:type="dxa"/>
            <w:tcBorders>
              <w:top w:val="single" w:sz="4" w:space="0" w:color="000000" w:themeColor="text1"/>
              <w:left w:val="nil"/>
              <w:right w:val="nil"/>
            </w:tcBorders>
            <w:tcMar>
              <w:top w:w="100" w:type="dxa"/>
              <w:left w:w="100" w:type="dxa"/>
              <w:bottom w:w="100" w:type="dxa"/>
              <w:right w:w="100" w:type="dxa"/>
            </w:tcMar>
          </w:tcPr>
          <w:p w14:paraId="31822037" w14:textId="77777777" w:rsidR="00AA4E85" w:rsidRPr="00CD0E29" w:rsidRDefault="00AA4E85" w:rsidP="00075967">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681AAD8D" w14:textId="77777777" w:rsidR="00AA4E85" w:rsidRPr="00CD0E29" w:rsidRDefault="00AA4E85" w:rsidP="00075967">
            <w:pPr>
              <w:jc w:val="center"/>
              <w:rPr>
                <w:rFonts w:cs="Arial"/>
                <w:sz w:val="20"/>
                <w:szCs w:val="20"/>
              </w:rPr>
            </w:pPr>
            <w:proofErr w:type="spellStart"/>
            <w:r w:rsidRPr="00CD0E29">
              <w:rPr>
                <w:rFonts w:cs="Arial"/>
                <w:sz w:val="20"/>
                <w:szCs w:val="20"/>
              </w:rPr>
              <w:t>pcpInperson</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6280F6AD" w14:textId="77777777" w:rsidR="00AA4E85" w:rsidRPr="00CD0E29" w:rsidRDefault="00AA4E85" w:rsidP="00075967">
            <w:pPr>
              <w:jc w:val="center"/>
              <w:rPr>
                <w:rFonts w:cs="Arial"/>
                <w:sz w:val="20"/>
                <w:szCs w:val="20"/>
              </w:rPr>
            </w:pPr>
            <w:r w:rsidRPr="00CD0E29">
              <w:rPr>
                <w:rFonts w:cs="Arial"/>
                <w:sz w:val="20"/>
                <w:szCs w:val="20"/>
              </w:rPr>
              <w:t>In-person access to privacy contact</w:t>
            </w:r>
          </w:p>
        </w:tc>
        <w:tc>
          <w:tcPr>
            <w:tcW w:w="1540" w:type="dxa"/>
            <w:tcBorders>
              <w:top w:val="single" w:sz="4" w:space="0" w:color="000000" w:themeColor="text1"/>
              <w:left w:val="nil"/>
            </w:tcBorders>
            <w:tcMar>
              <w:top w:w="100" w:type="dxa"/>
              <w:left w:w="100" w:type="dxa"/>
              <w:bottom w:w="100" w:type="dxa"/>
              <w:right w:w="100" w:type="dxa"/>
            </w:tcMar>
          </w:tcPr>
          <w:p w14:paraId="08843FBD" w14:textId="77777777" w:rsidR="00AA4E85" w:rsidRPr="00CD0E29" w:rsidRDefault="00AA4E85" w:rsidP="00075967">
            <w:pPr>
              <w:jc w:val="center"/>
              <w:rPr>
                <w:rFonts w:cs="Arial"/>
                <w:sz w:val="20"/>
                <w:szCs w:val="20"/>
              </w:rPr>
            </w:pPr>
            <w:r w:rsidRPr="00CD0E29">
              <w:rPr>
                <w:rFonts w:cs="Arial"/>
                <w:sz w:val="20"/>
                <w:szCs w:val="20"/>
              </w:rPr>
              <w:t>**</w:t>
            </w:r>
          </w:p>
        </w:tc>
      </w:tr>
    </w:tbl>
    <w:p w14:paraId="75B4BE5C" w14:textId="133D9FEE" w:rsidR="00AA4E85" w:rsidRDefault="005975FF">
      <w:r>
        <w:tab/>
      </w:r>
      <w:r>
        <w:tab/>
      </w:r>
      <w:r>
        <w:tab/>
      </w:r>
      <w:r>
        <w:tab/>
      </w:r>
      <w:r>
        <w:tab/>
      </w:r>
      <w:r>
        <w:tab/>
      </w:r>
      <w:r>
        <w:tab/>
      </w:r>
      <w:r>
        <w:tab/>
      </w:r>
      <w:r>
        <w:tab/>
      </w:r>
      <w:r w:rsidRPr="00AA4E85">
        <w:rPr>
          <w:i/>
          <w:iCs/>
          <w:color w:val="000000" w:themeColor="text1"/>
          <w:sz w:val="18"/>
          <w:szCs w:val="18"/>
        </w:rPr>
        <w:t xml:space="preserve">(table </w:t>
      </w:r>
      <w:r>
        <w:rPr>
          <w:i/>
          <w:iCs/>
          <w:color w:val="000000" w:themeColor="text1"/>
          <w:sz w:val="18"/>
          <w:szCs w:val="18"/>
        </w:rPr>
        <w:t>A</w:t>
      </w:r>
      <w:r w:rsidRPr="00AA4E85">
        <w:rPr>
          <w:i/>
          <w:iCs/>
          <w:color w:val="000000" w:themeColor="text1"/>
          <w:sz w:val="18"/>
          <w:szCs w:val="18"/>
        </w:rPr>
        <w:t>.1 continued on next page)</w:t>
      </w:r>
    </w:p>
    <w:p w14:paraId="33A3B565" w14:textId="77777777" w:rsidR="00AA4E85" w:rsidRDefault="00AA4E85"/>
    <w:p w14:paraId="4EB03482" w14:textId="77777777" w:rsidR="00EB5D7C" w:rsidRDefault="00EB5D7C">
      <w:pPr>
        <w:rPr>
          <w:i/>
          <w:iCs/>
          <w:color w:val="2C3E50"/>
          <w:sz w:val="18"/>
          <w:szCs w:val="18"/>
        </w:rPr>
      </w:pPr>
    </w:p>
    <w:p w14:paraId="6E68D62E" w14:textId="472417C1" w:rsidR="00AA4E85" w:rsidRPr="005975FF" w:rsidRDefault="005975FF">
      <w:pPr>
        <w:rPr>
          <w:i/>
          <w:iCs/>
          <w:color w:val="2C3E50"/>
          <w:sz w:val="18"/>
          <w:szCs w:val="18"/>
        </w:rPr>
      </w:pPr>
      <w:r w:rsidRPr="00AA4E85">
        <w:rPr>
          <w:i/>
          <w:iCs/>
          <w:color w:val="2C3E50"/>
          <w:sz w:val="18"/>
          <w:szCs w:val="18"/>
        </w:rPr>
        <w:lastRenderedPageBreak/>
        <w:t>Table A.1 PII Controller Identification Record Fields cont.</w:t>
      </w:r>
    </w:p>
    <w:tbl>
      <w:tblPr>
        <w:tblW w:w="10260" w:type="dxa"/>
        <w:tblInd w:w="-455" w:type="dxa"/>
        <w:tblBorders>
          <w:bottom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900"/>
        <w:gridCol w:w="2435"/>
        <w:gridCol w:w="1395"/>
        <w:gridCol w:w="2610"/>
        <w:gridCol w:w="1380"/>
        <w:gridCol w:w="1540"/>
      </w:tblGrid>
      <w:tr w:rsidR="00AA4E85" w:rsidRPr="00CD0E29" w14:paraId="63D4435D" w14:textId="77777777" w:rsidTr="00075967">
        <w:trPr>
          <w:trHeight w:val="367"/>
        </w:trPr>
        <w:tc>
          <w:tcPr>
            <w:tcW w:w="900" w:type="dxa"/>
            <w:tcBorders>
              <w:top w:val="single" w:sz="4" w:space="0" w:color="000000" w:themeColor="text1"/>
              <w:right w:val="nil"/>
            </w:tcBorders>
            <w:tcMar>
              <w:top w:w="100" w:type="dxa"/>
              <w:left w:w="100" w:type="dxa"/>
              <w:bottom w:w="100" w:type="dxa"/>
              <w:right w:w="100" w:type="dxa"/>
            </w:tcMar>
          </w:tcPr>
          <w:p w14:paraId="2A126B4C" w14:textId="77777777" w:rsidR="00AA4E85" w:rsidRPr="00CD0E29" w:rsidRDefault="00AA4E85" w:rsidP="00075967">
            <w:pPr>
              <w:jc w:val="center"/>
              <w:rPr>
                <w:rFonts w:cs="Arial"/>
                <w:sz w:val="20"/>
                <w:szCs w:val="20"/>
              </w:rPr>
            </w:pPr>
            <w:r w:rsidRPr="00CD0E29">
              <w:rPr>
                <w:rFonts w:cs="Arial"/>
                <w:sz w:val="20"/>
                <w:szCs w:val="20"/>
              </w:rPr>
              <w:t>Field #</w:t>
            </w:r>
          </w:p>
        </w:tc>
        <w:tc>
          <w:tcPr>
            <w:tcW w:w="2435" w:type="dxa"/>
            <w:tcBorders>
              <w:top w:val="single" w:sz="4" w:space="0" w:color="000000" w:themeColor="text1"/>
              <w:left w:val="nil"/>
              <w:right w:val="nil"/>
            </w:tcBorders>
            <w:tcMar>
              <w:top w:w="100" w:type="dxa"/>
              <w:left w:w="100" w:type="dxa"/>
              <w:bottom w:w="100" w:type="dxa"/>
              <w:right w:w="100" w:type="dxa"/>
            </w:tcMar>
          </w:tcPr>
          <w:p w14:paraId="1FAB0081" w14:textId="77777777" w:rsidR="00AA4E85" w:rsidRPr="00CD0E29" w:rsidRDefault="00AA4E85" w:rsidP="00075967">
            <w:pPr>
              <w:rPr>
                <w:rFonts w:cs="Arial"/>
                <w:sz w:val="20"/>
                <w:szCs w:val="20"/>
              </w:rPr>
            </w:pPr>
            <w:r w:rsidRPr="00CD0E29">
              <w:rPr>
                <w:rFonts w:cs="Arial"/>
                <w:sz w:val="20"/>
                <w:szCs w:val="20"/>
              </w:rPr>
              <w:t>Controller ID Object</w:t>
            </w:r>
          </w:p>
        </w:tc>
        <w:tc>
          <w:tcPr>
            <w:tcW w:w="1395" w:type="dxa"/>
            <w:tcBorders>
              <w:top w:val="single" w:sz="4" w:space="0" w:color="000000" w:themeColor="text1"/>
              <w:left w:val="nil"/>
              <w:right w:val="nil"/>
            </w:tcBorders>
            <w:tcMar>
              <w:top w:w="100" w:type="dxa"/>
              <w:left w:w="100" w:type="dxa"/>
              <w:bottom w:w="100" w:type="dxa"/>
              <w:right w:w="100" w:type="dxa"/>
            </w:tcMar>
          </w:tcPr>
          <w:p w14:paraId="7E3F09AF" w14:textId="77777777" w:rsidR="00AA4E85" w:rsidRPr="00CD0E29" w:rsidRDefault="00AA4E85" w:rsidP="00075967">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536380F3" w14:textId="77777777" w:rsidR="00AA4E85" w:rsidRPr="00CD0E29" w:rsidRDefault="00AA4E85" w:rsidP="00075967">
            <w:pPr>
              <w:jc w:val="center"/>
              <w:rPr>
                <w:rFonts w:cs="Arial"/>
                <w:sz w:val="20"/>
                <w:szCs w:val="20"/>
              </w:rPr>
            </w:pPr>
            <w:proofErr w:type="spellStart"/>
            <w:r w:rsidRPr="00CD0E29">
              <w:rPr>
                <w:rFonts w:cs="Arial"/>
                <w:sz w:val="20"/>
                <w:szCs w:val="20"/>
              </w:rPr>
              <w:t>controller_id_object</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2B56C637" w14:textId="77777777" w:rsidR="00AA4E85" w:rsidRPr="00CD0E29" w:rsidRDefault="00AA4E85" w:rsidP="00075967">
            <w:pPr>
              <w:jc w:val="center"/>
              <w:rPr>
                <w:rFonts w:cs="Arial"/>
                <w:sz w:val="20"/>
                <w:szCs w:val="20"/>
              </w:rPr>
            </w:pPr>
            <w:r w:rsidRPr="00CD0E29">
              <w:rPr>
                <w:rFonts w:cs="Arial"/>
                <w:sz w:val="20"/>
                <w:szCs w:val="20"/>
              </w:rPr>
              <w:t>_</w:t>
            </w:r>
          </w:p>
        </w:tc>
        <w:tc>
          <w:tcPr>
            <w:tcW w:w="1540" w:type="dxa"/>
            <w:tcBorders>
              <w:top w:val="single" w:sz="4" w:space="0" w:color="000000" w:themeColor="text1"/>
              <w:left w:val="nil"/>
            </w:tcBorders>
            <w:tcMar>
              <w:top w:w="100" w:type="dxa"/>
              <w:left w:w="100" w:type="dxa"/>
              <w:bottom w:w="100" w:type="dxa"/>
              <w:right w:w="100" w:type="dxa"/>
            </w:tcMar>
          </w:tcPr>
          <w:p w14:paraId="3AFF00F3" w14:textId="77777777" w:rsidR="00AA4E85" w:rsidRPr="00CD0E29" w:rsidRDefault="00AA4E85" w:rsidP="00075967">
            <w:pPr>
              <w:jc w:val="center"/>
              <w:rPr>
                <w:rFonts w:cs="Arial"/>
                <w:sz w:val="20"/>
                <w:szCs w:val="20"/>
              </w:rPr>
            </w:pPr>
            <w:r w:rsidRPr="00CD0E29">
              <w:rPr>
                <w:rFonts w:cs="Arial"/>
                <w:sz w:val="20"/>
                <w:szCs w:val="20"/>
              </w:rPr>
              <w:t>Required</w:t>
            </w:r>
          </w:p>
        </w:tc>
      </w:tr>
      <w:tr w:rsidR="00AA4E85" w:rsidRPr="00CD0E29" w14:paraId="11D54C85"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11180F35" w14:textId="0C895018" w:rsidR="00AA4E85" w:rsidRPr="00CD0E29" w:rsidRDefault="00AA4E85" w:rsidP="00075967">
            <w:pPr>
              <w:rPr>
                <w:rFonts w:cs="Arial"/>
                <w:sz w:val="20"/>
                <w:szCs w:val="20"/>
              </w:rPr>
            </w:pPr>
            <w:r w:rsidRPr="00CD0E29">
              <w:rPr>
                <w:rFonts w:cs="Arial"/>
                <w:sz w:val="20"/>
                <w:szCs w:val="20"/>
              </w:rPr>
              <w:t xml:space="preserve"> </w:t>
            </w:r>
            <w:r w:rsidR="005975FF">
              <w:rPr>
                <w:rFonts w:cs="Arial"/>
                <w:sz w:val="20"/>
                <w:szCs w:val="20"/>
              </w:rPr>
              <w:t xml:space="preserve">10 </w:t>
            </w:r>
            <w:r w:rsidR="005975FF" w:rsidRPr="005975FF">
              <w:rPr>
                <w:rFonts w:cs="Arial"/>
                <w:i/>
                <w:iCs/>
                <w:sz w:val="20"/>
                <w:szCs w:val="20"/>
              </w:rPr>
              <w:t>cont.</w:t>
            </w:r>
          </w:p>
        </w:tc>
        <w:tc>
          <w:tcPr>
            <w:tcW w:w="2435" w:type="dxa"/>
            <w:tcBorders>
              <w:top w:val="single" w:sz="4" w:space="0" w:color="000000" w:themeColor="text1"/>
              <w:left w:val="nil"/>
              <w:right w:val="nil"/>
            </w:tcBorders>
            <w:tcMar>
              <w:top w:w="100" w:type="dxa"/>
              <w:left w:w="100" w:type="dxa"/>
              <w:bottom w:w="100" w:type="dxa"/>
              <w:right w:w="100" w:type="dxa"/>
            </w:tcMar>
          </w:tcPr>
          <w:p w14:paraId="630C1E9F" w14:textId="77777777" w:rsidR="00AA4E85" w:rsidRPr="00CD0E29" w:rsidRDefault="00AA4E85" w:rsidP="00075967">
            <w:pPr>
              <w:rPr>
                <w:rFonts w:cs="Arial"/>
                <w:sz w:val="20"/>
                <w:szCs w:val="20"/>
              </w:rPr>
            </w:pPr>
            <w:r w:rsidRPr="00CD0E29">
              <w:rPr>
                <w:rFonts w:cs="Arial"/>
                <w:sz w:val="20"/>
                <w:szCs w:val="20"/>
              </w:rPr>
              <w:t>SPAP-Email</w:t>
            </w:r>
          </w:p>
        </w:tc>
        <w:tc>
          <w:tcPr>
            <w:tcW w:w="1395" w:type="dxa"/>
            <w:tcBorders>
              <w:top w:val="single" w:sz="4" w:space="0" w:color="000000" w:themeColor="text1"/>
              <w:left w:val="nil"/>
              <w:right w:val="nil"/>
            </w:tcBorders>
            <w:tcMar>
              <w:top w:w="100" w:type="dxa"/>
              <w:left w:w="100" w:type="dxa"/>
              <w:bottom w:w="100" w:type="dxa"/>
              <w:right w:w="100" w:type="dxa"/>
            </w:tcMar>
          </w:tcPr>
          <w:p w14:paraId="62FFA6B5" w14:textId="77777777" w:rsidR="00AA4E85" w:rsidRPr="00CD0E29" w:rsidRDefault="00AA4E85" w:rsidP="00075967">
            <w:pPr>
              <w:jc w:val="center"/>
              <w:rPr>
                <w:rFonts w:cs="Arial"/>
                <w:sz w:val="20"/>
                <w:szCs w:val="20"/>
              </w:rPr>
            </w:pPr>
            <w:r w:rsidRPr="00CD0E29">
              <w:rPr>
                <w:rFonts w:cs="Arial"/>
                <w:sz w:val="20"/>
                <w:szCs w:val="20"/>
              </w:rPr>
              <w:t>Varchar</w:t>
            </w:r>
          </w:p>
        </w:tc>
        <w:tc>
          <w:tcPr>
            <w:tcW w:w="2610" w:type="dxa"/>
            <w:tcBorders>
              <w:top w:val="single" w:sz="4" w:space="0" w:color="000000" w:themeColor="text1"/>
              <w:left w:val="nil"/>
              <w:right w:val="nil"/>
            </w:tcBorders>
            <w:tcMar>
              <w:top w:w="100" w:type="dxa"/>
              <w:left w:w="100" w:type="dxa"/>
              <w:bottom w:w="100" w:type="dxa"/>
              <w:right w:w="100" w:type="dxa"/>
            </w:tcMar>
          </w:tcPr>
          <w:p w14:paraId="04AB4BA5" w14:textId="77777777" w:rsidR="00AA4E85" w:rsidRPr="00CD0E29" w:rsidRDefault="00AA4E85" w:rsidP="00075967">
            <w:pPr>
              <w:jc w:val="center"/>
              <w:rPr>
                <w:rFonts w:cs="Arial"/>
                <w:sz w:val="20"/>
                <w:szCs w:val="20"/>
              </w:rPr>
            </w:pPr>
            <w:proofErr w:type="spellStart"/>
            <w:r w:rsidRPr="00CD0E29">
              <w:rPr>
                <w:rFonts w:cs="Arial"/>
                <w:sz w:val="20"/>
                <w:szCs w:val="20"/>
              </w:rPr>
              <w:t>pcpEmail</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3A819CE8" w14:textId="77777777" w:rsidR="00AA4E85" w:rsidRPr="00CD0E29" w:rsidRDefault="00AA4E85" w:rsidP="00075967">
            <w:pPr>
              <w:jc w:val="center"/>
              <w:rPr>
                <w:rFonts w:cs="Arial"/>
                <w:sz w:val="20"/>
                <w:szCs w:val="20"/>
              </w:rPr>
            </w:pPr>
            <w:r w:rsidRPr="00CD0E29">
              <w:rPr>
                <w:rFonts w:cs="Arial"/>
                <w:sz w:val="20"/>
                <w:szCs w:val="20"/>
              </w:rPr>
              <w:t>PAP email</w:t>
            </w:r>
          </w:p>
        </w:tc>
        <w:tc>
          <w:tcPr>
            <w:tcW w:w="1540" w:type="dxa"/>
            <w:tcBorders>
              <w:top w:val="single" w:sz="4" w:space="0" w:color="000000" w:themeColor="text1"/>
              <w:left w:val="nil"/>
            </w:tcBorders>
            <w:tcMar>
              <w:top w:w="100" w:type="dxa"/>
              <w:left w:w="100" w:type="dxa"/>
              <w:bottom w:w="100" w:type="dxa"/>
              <w:right w:w="100" w:type="dxa"/>
            </w:tcMar>
          </w:tcPr>
          <w:p w14:paraId="196D5151" w14:textId="77777777" w:rsidR="00AA4E85" w:rsidRPr="00CD0E29" w:rsidRDefault="00AA4E85" w:rsidP="00075967">
            <w:pPr>
              <w:jc w:val="center"/>
              <w:rPr>
                <w:rFonts w:cs="Arial"/>
                <w:sz w:val="20"/>
                <w:szCs w:val="20"/>
              </w:rPr>
            </w:pPr>
            <w:r w:rsidRPr="00CD0E29">
              <w:rPr>
                <w:rFonts w:cs="Arial"/>
                <w:sz w:val="20"/>
                <w:szCs w:val="20"/>
              </w:rPr>
              <w:t>**</w:t>
            </w:r>
          </w:p>
        </w:tc>
      </w:tr>
      <w:tr w:rsidR="00AA4E85" w:rsidRPr="00CD0E29" w14:paraId="4E3A06B7"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3EE557B8" w14:textId="77777777" w:rsidR="00AA4E85" w:rsidRPr="00CD0E29" w:rsidRDefault="00AA4E85" w:rsidP="00075967">
            <w:pPr>
              <w:rPr>
                <w:rFonts w:cs="Arial"/>
                <w:sz w:val="20"/>
                <w:szCs w:val="20"/>
              </w:rPr>
            </w:pPr>
            <w:r w:rsidRPr="00CD0E29">
              <w:rPr>
                <w:rFonts w:cs="Arial"/>
                <w:sz w:val="20"/>
                <w:szCs w:val="20"/>
              </w:rPr>
              <w:t xml:space="preserve"> </w:t>
            </w:r>
          </w:p>
        </w:tc>
        <w:tc>
          <w:tcPr>
            <w:tcW w:w="2435" w:type="dxa"/>
            <w:tcBorders>
              <w:top w:val="single" w:sz="4" w:space="0" w:color="000000" w:themeColor="text1"/>
              <w:left w:val="nil"/>
              <w:right w:val="nil"/>
            </w:tcBorders>
            <w:tcMar>
              <w:top w:w="100" w:type="dxa"/>
              <w:left w:w="100" w:type="dxa"/>
              <w:bottom w:w="100" w:type="dxa"/>
              <w:right w:w="100" w:type="dxa"/>
            </w:tcMar>
          </w:tcPr>
          <w:p w14:paraId="7F62F9AB" w14:textId="77777777" w:rsidR="00AA4E85" w:rsidRPr="00CD0E29" w:rsidRDefault="00AA4E85" w:rsidP="00075967">
            <w:pPr>
              <w:rPr>
                <w:rFonts w:cs="Arial"/>
                <w:sz w:val="20"/>
                <w:szCs w:val="20"/>
              </w:rPr>
            </w:pPr>
            <w:r w:rsidRPr="00CD0E29">
              <w:rPr>
                <w:rFonts w:cs="Arial"/>
                <w:sz w:val="20"/>
                <w:szCs w:val="20"/>
              </w:rPr>
              <w:t>SPAP-Phone</w:t>
            </w:r>
          </w:p>
        </w:tc>
        <w:tc>
          <w:tcPr>
            <w:tcW w:w="1395" w:type="dxa"/>
            <w:tcBorders>
              <w:top w:val="single" w:sz="4" w:space="0" w:color="000000" w:themeColor="text1"/>
              <w:left w:val="nil"/>
              <w:right w:val="nil"/>
            </w:tcBorders>
            <w:tcMar>
              <w:top w:w="100" w:type="dxa"/>
              <w:left w:w="100" w:type="dxa"/>
              <w:bottom w:w="100" w:type="dxa"/>
              <w:right w:w="100" w:type="dxa"/>
            </w:tcMar>
          </w:tcPr>
          <w:p w14:paraId="13110E6F" w14:textId="77777777" w:rsidR="00AA4E85" w:rsidRPr="00CD0E29" w:rsidRDefault="00AA4E85" w:rsidP="00075967">
            <w:pPr>
              <w:jc w:val="center"/>
              <w:rPr>
                <w:rFonts w:cs="Arial"/>
                <w:sz w:val="20"/>
                <w:szCs w:val="20"/>
              </w:rPr>
            </w:pPr>
            <w:r w:rsidRPr="00CD0E29">
              <w:rPr>
                <w:rFonts w:cs="Arial"/>
                <w:sz w:val="20"/>
                <w:szCs w:val="20"/>
              </w:rPr>
              <w:t>char</w:t>
            </w:r>
          </w:p>
        </w:tc>
        <w:tc>
          <w:tcPr>
            <w:tcW w:w="2610" w:type="dxa"/>
            <w:tcBorders>
              <w:top w:val="single" w:sz="4" w:space="0" w:color="000000" w:themeColor="text1"/>
              <w:left w:val="nil"/>
              <w:right w:val="nil"/>
            </w:tcBorders>
            <w:tcMar>
              <w:top w:w="100" w:type="dxa"/>
              <w:left w:w="100" w:type="dxa"/>
              <w:bottom w:w="100" w:type="dxa"/>
              <w:right w:w="100" w:type="dxa"/>
            </w:tcMar>
          </w:tcPr>
          <w:p w14:paraId="10636ECD" w14:textId="77777777" w:rsidR="00AA4E85" w:rsidRPr="00CD0E29" w:rsidRDefault="00AA4E85" w:rsidP="00075967">
            <w:pPr>
              <w:jc w:val="center"/>
              <w:rPr>
                <w:rFonts w:cs="Arial"/>
                <w:sz w:val="20"/>
                <w:szCs w:val="20"/>
              </w:rPr>
            </w:pPr>
            <w:proofErr w:type="spellStart"/>
            <w:r w:rsidRPr="00CD0E29">
              <w:rPr>
                <w:rFonts w:cs="Arial"/>
                <w:sz w:val="20"/>
                <w:szCs w:val="20"/>
              </w:rPr>
              <w:t>pcpPhone</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519E63F9" w14:textId="77777777" w:rsidR="00AA4E85" w:rsidRPr="00CD0E29" w:rsidRDefault="00AA4E85" w:rsidP="00075967">
            <w:pPr>
              <w:jc w:val="center"/>
              <w:rPr>
                <w:rFonts w:cs="Arial"/>
                <w:sz w:val="20"/>
                <w:szCs w:val="20"/>
              </w:rPr>
            </w:pPr>
            <w:r w:rsidRPr="00CD0E29">
              <w:rPr>
                <w:rFonts w:cs="Arial"/>
                <w:sz w:val="20"/>
                <w:szCs w:val="20"/>
              </w:rPr>
              <w:t>Privacy access phone</w:t>
            </w:r>
          </w:p>
        </w:tc>
        <w:tc>
          <w:tcPr>
            <w:tcW w:w="1540" w:type="dxa"/>
            <w:tcBorders>
              <w:top w:val="single" w:sz="4" w:space="0" w:color="000000" w:themeColor="text1"/>
              <w:left w:val="nil"/>
            </w:tcBorders>
            <w:tcMar>
              <w:top w:w="100" w:type="dxa"/>
              <w:left w:w="100" w:type="dxa"/>
              <w:bottom w:w="100" w:type="dxa"/>
              <w:right w:w="100" w:type="dxa"/>
            </w:tcMar>
          </w:tcPr>
          <w:p w14:paraId="446E1575" w14:textId="77777777" w:rsidR="00AA4E85" w:rsidRPr="00CD0E29" w:rsidRDefault="00AA4E85" w:rsidP="00075967">
            <w:pPr>
              <w:jc w:val="center"/>
              <w:rPr>
                <w:rFonts w:cs="Arial"/>
                <w:sz w:val="20"/>
                <w:szCs w:val="20"/>
              </w:rPr>
            </w:pPr>
            <w:r w:rsidRPr="00CD0E29">
              <w:rPr>
                <w:rFonts w:cs="Arial"/>
                <w:sz w:val="20"/>
                <w:szCs w:val="20"/>
              </w:rPr>
              <w:t>**</w:t>
            </w:r>
          </w:p>
        </w:tc>
      </w:tr>
      <w:tr w:rsidR="00AA4E85" w:rsidRPr="00CD0E29" w14:paraId="217C012B"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232072D3" w14:textId="77777777" w:rsidR="00AA4E85" w:rsidRPr="00CD0E29" w:rsidRDefault="00AA4E85" w:rsidP="00075967">
            <w:pPr>
              <w:rPr>
                <w:rFonts w:cs="Arial"/>
                <w:sz w:val="20"/>
                <w:szCs w:val="20"/>
              </w:rPr>
            </w:pPr>
            <w:r w:rsidRPr="00CD0E29">
              <w:rPr>
                <w:rFonts w:cs="Arial"/>
                <w:sz w:val="20"/>
                <w:szCs w:val="20"/>
              </w:rPr>
              <w:t xml:space="preserve"> </w:t>
            </w:r>
          </w:p>
        </w:tc>
        <w:tc>
          <w:tcPr>
            <w:tcW w:w="2435" w:type="dxa"/>
            <w:tcBorders>
              <w:top w:val="single" w:sz="4" w:space="0" w:color="000000" w:themeColor="text1"/>
              <w:left w:val="nil"/>
              <w:right w:val="nil"/>
            </w:tcBorders>
            <w:tcMar>
              <w:top w:w="100" w:type="dxa"/>
              <w:left w:w="100" w:type="dxa"/>
              <w:bottom w:w="100" w:type="dxa"/>
              <w:right w:w="100" w:type="dxa"/>
            </w:tcMar>
          </w:tcPr>
          <w:p w14:paraId="2EE1C20C" w14:textId="77777777" w:rsidR="00AA4E85" w:rsidRPr="00CD0E29" w:rsidRDefault="00AA4E85" w:rsidP="00075967">
            <w:pPr>
              <w:rPr>
                <w:rFonts w:cs="Arial"/>
                <w:sz w:val="20"/>
                <w:szCs w:val="20"/>
              </w:rPr>
            </w:pPr>
            <w:r w:rsidRPr="00CD0E29">
              <w:rPr>
                <w:rFonts w:cs="Arial"/>
                <w:sz w:val="20"/>
                <w:szCs w:val="20"/>
              </w:rPr>
              <w:t>SPAP -PIP- URI</w:t>
            </w:r>
          </w:p>
        </w:tc>
        <w:tc>
          <w:tcPr>
            <w:tcW w:w="1395" w:type="dxa"/>
            <w:tcBorders>
              <w:top w:val="single" w:sz="4" w:space="0" w:color="000000" w:themeColor="text1"/>
              <w:left w:val="nil"/>
              <w:right w:val="nil"/>
            </w:tcBorders>
            <w:tcMar>
              <w:top w:w="100" w:type="dxa"/>
              <w:left w:w="100" w:type="dxa"/>
              <w:bottom w:w="100" w:type="dxa"/>
              <w:right w:w="100" w:type="dxa"/>
            </w:tcMar>
          </w:tcPr>
          <w:p w14:paraId="25DE2572" w14:textId="77777777" w:rsidR="00AA4E85" w:rsidRPr="00CD0E29" w:rsidRDefault="00AA4E85" w:rsidP="00075967">
            <w:pPr>
              <w:jc w:val="center"/>
              <w:rPr>
                <w:rFonts w:cs="Arial"/>
                <w:sz w:val="20"/>
                <w:szCs w:val="20"/>
              </w:rPr>
            </w:pPr>
            <w:r w:rsidRPr="00CD0E29">
              <w:rPr>
                <w:rFonts w:cs="Arial"/>
                <w:sz w:val="20"/>
                <w:szCs w:val="20"/>
              </w:rPr>
              <w:t>Varchar</w:t>
            </w:r>
          </w:p>
        </w:tc>
        <w:tc>
          <w:tcPr>
            <w:tcW w:w="2610" w:type="dxa"/>
            <w:tcBorders>
              <w:top w:val="single" w:sz="4" w:space="0" w:color="000000" w:themeColor="text1"/>
              <w:left w:val="nil"/>
              <w:right w:val="nil"/>
            </w:tcBorders>
            <w:tcMar>
              <w:top w:w="100" w:type="dxa"/>
              <w:left w:w="100" w:type="dxa"/>
              <w:bottom w:w="100" w:type="dxa"/>
              <w:right w:w="100" w:type="dxa"/>
            </w:tcMar>
          </w:tcPr>
          <w:p w14:paraId="564F4D25" w14:textId="77777777" w:rsidR="00AA4E85" w:rsidRPr="00CD0E29" w:rsidRDefault="00AA4E85" w:rsidP="00075967">
            <w:pPr>
              <w:jc w:val="center"/>
              <w:rPr>
                <w:rFonts w:cs="Arial"/>
                <w:sz w:val="20"/>
                <w:szCs w:val="20"/>
              </w:rPr>
            </w:pPr>
            <w:proofErr w:type="spellStart"/>
            <w:r w:rsidRPr="00CD0E29">
              <w:rPr>
                <w:rFonts w:cs="Arial"/>
                <w:sz w:val="20"/>
                <w:szCs w:val="20"/>
              </w:rPr>
              <w:t>pcpPip_uri</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3B4F7044" w14:textId="77777777" w:rsidR="00AA4E85" w:rsidRPr="00CD0E29" w:rsidRDefault="00AA4E85" w:rsidP="00075967">
            <w:pPr>
              <w:jc w:val="center"/>
              <w:rPr>
                <w:rFonts w:cs="Arial"/>
                <w:sz w:val="20"/>
                <w:szCs w:val="20"/>
              </w:rPr>
            </w:pPr>
            <w:r w:rsidRPr="00CD0E29">
              <w:rPr>
                <w:rFonts w:cs="Arial"/>
                <w:sz w:val="20"/>
                <w:szCs w:val="20"/>
              </w:rPr>
              <w:t>privacy info access point, URI</w:t>
            </w:r>
          </w:p>
        </w:tc>
        <w:tc>
          <w:tcPr>
            <w:tcW w:w="1540" w:type="dxa"/>
            <w:tcBorders>
              <w:top w:val="single" w:sz="4" w:space="0" w:color="000000" w:themeColor="text1"/>
              <w:left w:val="nil"/>
            </w:tcBorders>
            <w:tcMar>
              <w:top w:w="100" w:type="dxa"/>
              <w:left w:w="100" w:type="dxa"/>
              <w:bottom w:w="100" w:type="dxa"/>
              <w:right w:w="100" w:type="dxa"/>
            </w:tcMar>
          </w:tcPr>
          <w:p w14:paraId="7192A2CA" w14:textId="77777777" w:rsidR="00AA4E85" w:rsidRPr="00CD0E29" w:rsidRDefault="00AA4E85" w:rsidP="00075967">
            <w:pPr>
              <w:jc w:val="center"/>
              <w:rPr>
                <w:rFonts w:cs="Arial"/>
                <w:sz w:val="20"/>
                <w:szCs w:val="20"/>
              </w:rPr>
            </w:pPr>
            <w:r w:rsidRPr="00CD0E29">
              <w:rPr>
                <w:rFonts w:cs="Arial"/>
                <w:sz w:val="20"/>
                <w:szCs w:val="20"/>
              </w:rPr>
              <w:t>**</w:t>
            </w:r>
          </w:p>
        </w:tc>
      </w:tr>
      <w:tr w:rsidR="00AA4E85" w:rsidRPr="00CD0E29" w14:paraId="28169016"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2D4583BF" w14:textId="77777777" w:rsidR="00AA4E85" w:rsidRPr="00CD0E29" w:rsidRDefault="00AA4E85" w:rsidP="00075967">
            <w:pPr>
              <w:rPr>
                <w:rFonts w:cs="Arial"/>
                <w:sz w:val="20"/>
                <w:szCs w:val="20"/>
              </w:rPr>
            </w:pPr>
            <w:r w:rsidRPr="00CD0E29">
              <w:rPr>
                <w:rFonts w:cs="Arial"/>
                <w:sz w:val="20"/>
                <w:szCs w:val="20"/>
              </w:rPr>
              <w:t xml:space="preserve"> </w:t>
            </w:r>
          </w:p>
        </w:tc>
        <w:tc>
          <w:tcPr>
            <w:tcW w:w="2435" w:type="dxa"/>
            <w:tcBorders>
              <w:top w:val="single" w:sz="4" w:space="0" w:color="000000" w:themeColor="text1"/>
              <w:left w:val="nil"/>
              <w:right w:val="nil"/>
            </w:tcBorders>
            <w:tcMar>
              <w:top w:w="100" w:type="dxa"/>
              <w:left w:w="100" w:type="dxa"/>
              <w:bottom w:w="100" w:type="dxa"/>
              <w:right w:w="100" w:type="dxa"/>
            </w:tcMar>
          </w:tcPr>
          <w:p w14:paraId="5EDC07E8" w14:textId="77777777" w:rsidR="00AA4E85" w:rsidRPr="00CD0E29" w:rsidRDefault="00AA4E85" w:rsidP="00075967">
            <w:pPr>
              <w:rPr>
                <w:rFonts w:cs="Arial"/>
                <w:sz w:val="20"/>
                <w:szCs w:val="20"/>
              </w:rPr>
            </w:pPr>
            <w:r w:rsidRPr="00CD0E29">
              <w:rPr>
                <w:rFonts w:cs="Arial"/>
                <w:sz w:val="20"/>
                <w:szCs w:val="20"/>
              </w:rPr>
              <w:t>SPAP-Form</w:t>
            </w:r>
          </w:p>
        </w:tc>
        <w:tc>
          <w:tcPr>
            <w:tcW w:w="1395" w:type="dxa"/>
            <w:tcBorders>
              <w:top w:val="single" w:sz="4" w:space="0" w:color="000000" w:themeColor="text1"/>
              <w:left w:val="nil"/>
              <w:right w:val="nil"/>
            </w:tcBorders>
            <w:tcMar>
              <w:top w:w="100" w:type="dxa"/>
              <w:left w:w="100" w:type="dxa"/>
              <w:bottom w:w="100" w:type="dxa"/>
              <w:right w:w="100" w:type="dxa"/>
            </w:tcMar>
          </w:tcPr>
          <w:p w14:paraId="3A284119" w14:textId="77777777" w:rsidR="00AA4E85" w:rsidRPr="00CD0E29" w:rsidRDefault="00AA4E85" w:rsidP="00075967">
            <w:pPr>
              <w:jc w:val="center"/>
              <w:rPr>
                <w:rFonts w:cs="Arial"/>
                <w:sz w:val="20"/>
                <w:szCs w:val="20"/>
              </w:rPr>
            </w:pPr>
            <w:r w:rsidRPr="00CD0E29">
              <w:rPr>
                <w:rFonts w:cs="Arial"/>
                <w:sz w:val="20"/>
                <w:szCs w:val="20"/>
              </w:rPr>
              <w:t>Varchar</w:t>
            </w:r>
          </w:p>
        </w:tc>
        <w:tc>
          <w:tcPr>
            <w:tcW w:w="2610" w:type="dxa"/>
            <w:tcBorders>
              <w:top w:val="single" w:sz="4" w:space="0" w:color="000000" w:themeColor="text1"/>
              <w:left w:val="nil"/>
              <w:right w:val="nil"/>
            </w:tcBorders>
            <w:tcMar>
              <w:top w:w="100" w:type="dxa"/>
              <w:left w:w="100" w:type="dxa"/>
              <w:bottom w:w="100" w:type="dxa"/>
              <w:right w:w="100" w:type="dxa"/>
            </w:tcMar>
          </w:tcPr>
          <w:p w14:paraId="3556328D" w14:textId="77777777" w:rsidR="00AA4E85" w:rsidRPr="00CD0E29" w:rsidRDefault="00AA4E85" w:rsidP="00075967">
            <w:pPr>
              <w:jc w:val="center"/>
              <w:rPr>
                <w:rFonts w:cs="Arial"/>
                <w:sz w:val="20"/>
                <w:szCs w:val="20"/>
              </w:rPr>
            </w:pPr>
            <w:proofErr w:type="spellStart"/>
            <w:r w:rsidRPr="00CD0E29">
              <w:rPr>
                <w:rFonts w:cs="Arial"/>
                <w:sz w:val="20"/>
                <w:szCs w:val="20"/>
              </w:rPr>
              <w:t>pcpForm</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46DE163A" w14:textId="77777777" w:rsidR="00AA4E85" w:rsidRPr="00CD0E29" w:rsidRDefault="00AA4E85" w:rsidP="00075967">
            <w:pPr>
              <w:jc w:val="center"/>
              <w:rPr>
                <w:rFonts w:cs="Arial"/>
                <w:sz w:val="20"/>
                <w:szCs w:val="20"/>
              </w:rPr>
            </w:pPr>
            <w:r w:rsidRPr="00CD0E29">
              <w:rPr>
                <w:rFonts w:cs="Arial"/>
                <w:sz w:val="20"/>
                <w:szCs w:val="20"/>
              </w:rPr>
              <w:t>Privacy access form URI</w:t>
            </w:r>
          </w:p>
        </w:tc>
        <w:tc>
          <w:tcPr>
            <w:tcW w:w="1540" w:type="dxa"/>
            <w:tcBorders>
              <w:top w:val="single" w:sz="4" w:space="0" w:color="000000" w:themeColor="text1"/>
              <w:left w:val="nil"/>
            </w:tcBorders>
            <w:tcMar>
              <w:top w:w="100" w:type="dxa"/>
              <w:left w:w="100" w:type="dxa"/>
              <w:bottom w:w="100" w:type="dxa"/>
              <w:right w:w="100" w:type="dxa"/>
            </w:tcMar>
          </w:tcPr>
          <w:p w14:paraId="51078217" w14:textId="77777777" w:rsidR="00AA4E85" w:rsidRPr="00CD0E29" w:rsidRDefault="00AA4E85" w:rsidP="00075967">
            <w:pPr>
              <w:jc w:val="center"/>
              <w:rPr>
                <w:rFonts w:cs="Arial"/>
                <w:sz w:val="20"/>
                <w:szCs w:val="20"/>
              </w:rPr>
            </w:pPr>
            <w:r w:rsidRPr="00CD0E29">
              <w:rPr>
                <w:rFonts w:cs="Arial"/>
                <w:sz w:val="20"/>
                <w:szCs w:val="20"/>
              </w:rPr>
              <w:t>**</w:t>
            </w:r>
          </w:p>
        </w:tc>
      </w:tr>
      <w:tr w:rsidR="00AA4E85" w:rsidRPr="00CD0E29" w14:paraId="6647C75B"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04A26CC5" w14:textId="77777777" w:rsidR="00AA4E85" w:rsidRPr="00CD0E29" w:rsidRDefault="00AA4E85" w:rsidP="00075967">
            <w:pPr>
              <w:rPr>
                <w:rFonts w:cs="Arial"/>
                <w:sz w:val="20"/>
                <w:szCs w:val="20"/>
              </w:rPr>
            </w:pPr>
            <w:r w:rsidRPr="00CD0E29">
              <w:rPr>
                <w:rFonts w:cs="Arial"/>
                <w:sz w:val="20"/>
                <w:szCs w:val="20"/>
              </w:rPr>
              <w:t xml:space="preserve"> </w:t>
            </w:r>
          </w:p>
        </w:tc>
        <w:tc>
          <w:tcPr>
            <w:tcW w:w="2435" w:type="dxa"/>
            <w:tcBorders>
              <w:top w:val="single" w:sz="4" w:space="0" w:color="000000" w:themeColor="text1"/>
              <w:left w:val="nil"/>
              <w:right w:val="nil"/>
            </w:tcBorders>
            <w:tcMar>
              <w:top w:w="100" w:type="dxa"/>
              <w:left w:w="100" w:type="dxa"/>
              <w:bottom w:w="100" w:type="dxa"/>
              <w:right w:w="100" w:type="dxa"/>
            </w:tcMar>
          </w:tcPr>
          <w:p w14:paraId="66336DB2" w14:textId="77777777" w:rsidR="00AA4E85" w:rsidRPr="00CD0E29" w:rsidRDefault="00AA4E85" w:rsidP="00075967">
            <w:pPr>
              <w:rPr>
                <w:rFonts w:cs="Arial"/>
                <w:sz w:val="20"/>
                <w:szCs w:val="20"/>
              </w:rPr>
            </w:pPr>
            <w:r w:rsidRPr="00CD0E29">
              <w:rPr>
                <w:rFonts w:cs="Arial"/>
                <w:sz w:val="20"/>
                <w:szCs w:val="20"/>
              </w:rPr>
              <w:t>SPAP-Bot</w:t>
            </w:r>
          </w:p>
        </w:tc>
        <w:tc>
          <w:tcPr>
            <w:tcW w:w="1395" w:type="dxa"/>
            <w:tcBorders>
              <w:top w:val="single" w:sz="4" w:space="0" w:color="000000" w:themeColor="text1"/>
              <w:left w:val="nil"/>
              <w:right w:val="nil"/>
            </w:tcBorders>
            <w:tcMar>
              <w:top w:w="100" w:type="dxa"/>
              <w:left w:w="100" w:type="dxa"/>
              <w:bottom w:w="100" w:type="dxa"/>
              <w:right w:w="100" w:type="dxa"/>
            </w:tcMar>
          </w:tcPr>
          <w:p w14:paraId="5E044557" w14:textId="77777777" w:rsidR="00AA4E85" w:rsidRPr="00CD0E29" w:rsidRDefault="00AA4E85" w:rsidP="00075967">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64E50839" w14:textId="77777777" w:rsidR="00AA4E85" w:rsidRPr="00CD0E29" w:rsidRDefault="00AA4E85" w:rsidP="00075967">
            <w:pPr>
              <w:jc w:val="center"/>
              <w:rPr>
                <w:rFonts w:cs="Arial"/>
                <w:sz w:val="20"/>
                <w:szCs w:val="20"/>
              </w:rPr>
            </w:pPr>
            <w:proofErr w:type="spellStart"/>
            <w:r w:rsidRPr="00CD0E29">
              <w:rPr>
                <w:rFonts w:cs="Arial"/>
                <w:sz w:val="20"/>
                <w:szCs w:val="20"/>
              </w:rPr>
              <w:t>pcpBot</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417968F2" w14:textId="77777777" w:rsidR="00AA4E85" w:rsidRPr="00CD0E29" w:rsidRDefault="00AA4E85" w:rsidP="00075967">
            <w:pPr>
              <w:jc w:val="center"/>
              <w:rPr>
                <w:rFonts w:cs="Arial"/>
                <w:sz w:val="20"/>
                <w:szCs w:val="20"/>
              </w:rPr>
            </w:pPr>
            <w:r w:rsidRPr="00CD0E29">
              <w:rPr>
                <w:rFonts w:cs="Arial"/>
                <w:sz w:val="20"/>
                <w:szCs w:val="20"/>
              </w:rPr>
              <w:t>privacy bot, URI</w:t>
            </w:r>
          </w:p>
        </w:tc>
        <w:tc>
          <w:tcPr>
            <w:tcW w:w="1540" w:type="dxa"/>
            <w:tcBorders>
              <w:top w:val="single" w:sz="4" w:space="0" w:color="000000" w:themeColor="text1"/>
              <w:left w:val="nil"/>
            </w:tcBorders>
            <w:tcMar>
              <w:top w:w="100" w:type="dxa"/>
              <w:left w:w="100" w:type="dxa"/>
              <w:bottom w:w="100" w:type="dxa"/>
              <w:right w:w="100" w:type="dxa"/>
            </w:tcMar>
          </w:tcPr>
          <w:p w14:paraId="69BBD784" w14:textId="77777777" w:rsidR="00AA4E85" w:rsidRPr="00CD0E29" w:rsidRDefault="00AA4E85" w:rsidP="00075967">
            <w:pPr>
              <w:jc w:val="center"/>
              <w:rPr>
                <w:rFonts w:cs="Arial"/>
                <w:sz w:val="20"/>
                <w:szCs w:val="20"/>
              </w:rPr>
            </w:pPr>
            <w:r w:rsidRPr="00CD0E29">
              <w:rPr>
                <w:rFonts w:cs="Arial"/>
                <w:sz w:val="20"/>
                <w:szCs w:val="20"/>
              </w:rPr>
              <w:t>**</w:t>
            </w:r>
          </w:p>
        </w:tc>
      </w:tr>
      <w:tr w:rsidR="00AA4E85" w:rsidRPr="00CD0E29" w14:paraId="21378D38" w14:textId="77777777" w:rsidTr="00075967">
        <w:trPr>
          <w:trHeight w:val="740"/>
        </w:trPr>
        <w:tc>
          <w:tcPr>
            <w:tcW w:w="900" w:type="dxa"/>
            <w:tcBorders>
              <w:top w:val="single" w:sz="4" w:space="0" w:color="000000" w:themeColor="text1"/>
              <w:right w:val="nil"/>
            </w:tcBorders>
            <w:tcMar>
              <w:top w:w="100" w:type="dxa"/>
              <w:left w:w="100" w:type="dxa"/>
              <w:bottom w:w="100" w:type="dxa"/>
              <w:right w:w="100" w:type="dxa"/>
            </w:tcMar>
          </w:tcPr>
          <w:p w14:paraId="6AB7D72E" w14:textId="77777777" w:rsidR="00AA4E85" w:rsidRPr="00CD0E29" w:rsidRDefault="00AA4E85" w:rsidP="00075967">
            <w:pPr>
              <w:rPr>
                <w:rFonts w:cs="Arial"/>
                <w:sz w:val="20"/>
                <w:szCs w:val="20"/>
              </w:rPr>
            </w:pPr>
            <w:r w:rsidRPr="00CD0E29">
              <w:rPr>
                <w:rFonts w:cs="Arial"/>
                <w:sz w:val="20"/>
                <w:szCs w:val="20"/>
              </w:rPr>
              <w:t xml:space="preserve"> </w:t>
            </w:r>
          </w:p>
        </w:tc>
        <w:tc>
          <w:tcPr>
            <w:tcW w:w="2435" w:type="dxa"/>
            <w:tcBorders>
              <w:top w:val="single" w:sz="4" w:space="0" w:color="000000" w:themeColor="text1"/>
              <w:left w:val="nil"/>
              <w:right w:val="nil"/>
            </w:tcBorders>
            <w:tcMar>
              <w:top w:w="100" w:type="dxa"/>
              <w:left w:w="100" w:type="dxa"/>
              <w:bottom w:w="100" w:type="dxa"/>
              <w:right w:w="100" w:type="dxa"/>
            </w:tcMar>
          </w:tcPr>
          <w:p w14:paraId="29C6F9D9" w14:textId="77777777" w:rsidR="00AA4E85" w:rsidRPr="00CD0E29" w:rsidRDefault="00AA4E85" w:rsidP="00075967">
            <w:pPr>
              <w:rPr>
                <w:rFonts w:cs="Arial"/>
                <w:sz w:val="20"/>
                <w:szCs w:val="20"/>
              </w:rPr>
            </w:pPr>
            <w:r w:rsidRPr="00CD0E29">
              <w:rPr>
                <w:rFonts w:cs="Arial"/>
                <w:sz w:val="20"/>
                <w:szCs w:val="20"/>
              </w:rPr>
              <w:t>SPAP-CoP</w:t>
            </w:r>
          </w:p>
        </w:tc>
        <w:tc>
          <w:tcPr>
            <w:tcW w:w="1395" w:type="dxa"/>
            <w:tcBorders>
              <w:top w:val="single" w:sz="4" w:space="0" w:color="000000" w:themeColor="text1"/>
              <w:left w:val="nil"/>
              <w:right w:val="nil"/>
            </w:tcBorders>
            <w:tcMar>
              <w:top w:w="100" w:type="dxa"/>
              <w:left w:w="100" w:type="dxa"/>
              <w:bottom w:w="100" w:type="dxa"/>
              <w:right w:w="100" w:type="dxa"/>
            </w:tcMar>
          </w:tcPr>
          <w:p w14:paraId="516BB028" w14:textId="77777777" w:rsidR="00AA4E85" w:rsidRPr="00CD0E29" w:rsidRDefault="00AA4E85" w:rsidP="00075967">
            <w:pPr>
              <w:jc w:val="cente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2B51BC75" w14:textId="77777777" w:rsidR="00AA4E85" w:rsidRPr="00CD0E29" w:rsidRDefault="00AA4E85" w:rsidP="00075967">
            <w:pPr>
              <w:jc w:val="center"/>
              <w:rPr>
                <w:rFonts w:cs="Arial"/>
                <w:sz w:val="20"/>
                <w:szCs w:val="20"/>
              </w:rPr>
            </w:pPr>
            <w:proofErr w:type="spellStart"/>
            <w:r w:rsidRPr="00CD0E29">
              <w:rPr>
                <w:rFonts w:cs="Arial"/>
                <w:sz w:val="20"/>
                <w:szCs w:val="20"/>
              </w:rPr>
              <w:t>pcpCop</w:t>
            </w:r>
            <w:proofErr w:type="spellEnd"/>
            <w:r w:rsidRPr="00CD0E29">
              <w:rPr>
                <w:rFonts w:cs="Arial"/>
                <w:sz w:val="20"/>
                <w:szCs w:val="20"/>
              </w:rPr>
              <w:t>-loc</w:t>
            </w:r>
          </w:p>
        </w:tc>
        <w:tc>
          <w:tcPr>
            <w:tcW w:w="1380" w:type="dxa"/>
            <w:tcBorders>
              <w:top w:val="single" w:sz="4" w:space="0" w:color="000000" w:themeColor="text1"/>
              <w:left w:val="nil"/>
              <w:right w:val="nil"/>
            </w:tcBorders>
            <w:tcMar>
              <w:top w:w="100" w:type="dxa"/>
              <w:left w:w="100" w:type="dxa"/>
              <w:bottom w:w="100" w:type="dxa"/>
              <w:right w:w="100" w:type="dxa"/>
            </w:tcMar>
          </w:tcPr>
          <w:p w14:paraId="79B7AABE" w14:textId="77777777" w:rsidR="00AA4E85" w:rsidRPr="00CD0E29" w:rsidRDefault="00AA4E85" w:rsidP="00075967">
            <w:pPr>
              <w:jc w:val="center"/>
              <w:rPr>
                <w:rFonts w:cs="Arial"/>
                <w:sz w:val="20"/>
                <w:szCs w:val="20"/>
              </w:rPr>
            </w:pPr>
            <w:r w:rsidRPr="00CD0E29">
              <w:rPr>
                <w:rFonts w:cs="Arial"/>
                <w:sz w:val="20"/>
                <w:szCs w:val="20"/>
              </w:rPr>
              <w:t>Code of practice certificate, URI of public directory with pub-key</w:t>
            </w:r>
          </w:p>
        </w:tc>
        <w:tc>
          <w:tcPr>
            <w:tcW w:w="1540" w:type="dxa"/>
            <w:tcBorders>
              <w:top w:val="single" w:sz="4" w:space="0" w:color="000000" w:themeColor="text1"/>
              <w:left w:val="nil"/>
            </w:tcBorders>
            <w:tcMar>
              <w:top w:w="100" w:type="dxa"/>
              <w:left w:w="100" w:type="dxa"/>
              <w:bottom w:w="100" w:type="dxa"/>
              <w:right w:w="100" w:type="dxa"/>
            </w:tcMar>
          </w:tcPr>
          <w:p w14:paraId="161E3DDA" w14:textId="77777777" w:rsidR="00AA4E85" w:rsidRPr="00CD0E29" w:rsidRDefault="00AA4E85" w:rsidP="00075967">
            <w:pPr>
              <w:jc w:val="center"/>
              <w:rPr>
                <w:rFonts w:cs="Arial"/>
                <w:sz w:val="20"/>
                <w:szCs w:val="20"/>
              </w:rPr>
            </w:pPr>
            <w:r w:rsidRPr="00CD0E29">
              <w:rPr>
                <w:rFonts w:cs="Arial"/>
                <w:sz w:val="20"/>
                <w:szCs w:val="20"/>
              </w:rPr>
              <w:t>**</w:t>
            </w:r>
          </w:p>
        </w:tc>
      </w:tr>
      <w:tr w:rsidR="00AA4E85" w:rsidRPr="00CD0E29" w14:paraId="51881610" w14:textId="77777777" w:rsidTr="00075967">
        <w:trPr>
          <w:trHeight w:val="485"/>
        </w:trPr>
        <w:tc>
          <w:tcPr>
            <w:tcW w:w="900" w:type="dxa"/>
            <w:tcBorders>
              <w:top w:val="single" w:sz="4" w:space="0" w:color="000000" w:themeColor="text1"/>
              <w:right w:val="nil"/>
            </w:tcBorders>
            <w:tcMar>
              <w:top w:w="100" w:type="dxa"/>
              <w:left w:w="100" w:type="dxa"/>
              <w:bottom w:w="100" w:type="dxa"/>
              <w:right w:w="100" w:type="dxa"/>
            </w:tcMar>
          </w:tcPr>
          <w:p w14:paraId="6B315995" w14:textId="46F26C28" w:rsidR="00AA4E85" w:rsidRPr="00CD0E29" w:rsidRDefault="00AA4E85" w:rsidP="00075967">
            <w:pPr>
              <w:rPr>
                <w:rFonts w:cs="Arial"/>
                <w:sz w:val="20"/>
                <w:szCs w:val="20"/>
              </w:rPr>
            </w:pPr>
            <w:r w:rsidRPr="00CD0E29">
              <w:rPr>
                <w:rFonts w:cs="Arial"/>
                <w:sz w:val="20"/>
                <w:szCs w:val="20"/>
              </w:rPr>
              <w:t xml:space="preserve"> 1</w:t>
            </w:r>
            <w:r>
              <w:rPr>
                <w:rFonts w:cs="Arial"/>
                <w:sz w:val="20"/>
                <w:szCs w:val="20"/>
              </w:rPr>
              <w:t>1</w:t>
            </w:r>
          </w:p>
        </w:tc>
        <w:tc>
          <w:tcPr>
            <w:tcW w:w="2435" w:type="dxa"/>
            <w:tcBorders>
              <w:top w:val="single" w:sz="4" w:space="0" w:color="000000" w:themeColor="text1"/>
              <w:left w:val="nil"/>
              <w:right w:val="nil"/>
            </w:tcBorders>
            <w:tcMar>
              <w:top w:w="100" w:type="dxa"/>
              <w:left w:w="100" w:type="dxa"/>
              <w:bottom w:w="100" w:type="dxa"/>
              <w:right w:w="100" w:type="dxa"/>
            </w:tcMar>
          </w:tcPr>
          <w:p w14:paraId="5F46AAD4" w14:textId="77777777" w:rsidR="00AA4E85" w:rsidRPr="00CD0E29" w:rsidRDefault="00AA4E85" w:rsidP="00075967">
            <w:pPr>
              <w:rPr>
                <w:rFonts w:cs="Arial"/>
                <w:sz w:val="20"/>
                <w:szCs w:val="20"/>
              </w:rPr>
            </w:pPr>
            <w:r w:rsidRPr="00CD0E29">
              <w:rPr>
                <w:rFonts w:cs="Arial"/>
                <w:sz w:val="20"/>
                <w:szCs w:val="20"/>
              </w:rPr>
              <w:t>SPAP-Other</w:t>
            </w:r>
          </w:p>
        </w:tc>
        <w:tc>
          <w:tcPr>
            <w:tcW w:w="1395" w:type="dxa"/>
            <w:tcBorders>
              <w:top w:val="single" w:sz="4" w:space="0" w:color="000000" w:themeColor="text1"/>
              <w:left w:val="nil"/>
              <w:right w:val="nil"/>
            </w:tcBorders>
            <w:tcMar>
              <w:top w:w="100" w:type="dxa"/>
              <w:left w:w="100" w:type="dxa"/>
              <w:bottom w:w="100" w:type="dxa"/>
              <w:right w:w="100" w:type="dxa"/>
            </w:tcMar>
          </w:tcPr>
          <w:p w14:paraId="3514710A" w14:textId="77777777" w:rsidR="00AA4E85" w:rsidRPr="00CD0E29" w:rsidRDefault="00AA4E85" w:rsidP="00075967">
            <w:pPr>
              <w:rPr>
                <w:rFonts w:cs="Arial"/>
                <w:sz w:val="20"/>
                <w:szCs w:val="20"/>
              </w:rPr>
            </w:pPr>
            <w:r w:rsidRPr="00CD0E29">
              <w:rPr>
                <w:rFonts w:cs="Arial"/>
                <w:sz w:val="20"/>
                <w:szCs w:val="20"/>
              </w:rPr>
              <w:t>string</w:t>
            </w:r>
          </w:p>
        </w:tc>
        <w:tc>
          <w:tcPr>
            <w:tcW w:w="2610" w:type="dxa"/>
            <w:tcBorders>
              <w:top w:val="single" w:sz="4" w:space="0" w:color="000000" w:themeColor="text1"/>
              <w:left w:val="nil"/>
              <w:right w:val="nil"/>
            </w:tcBorders>
            <w:tcMar>
              <w:top w:w="100" w:type="dxa"/>
              <w:left w:w="100" w:type="dxa"/>
              <w:bottom w:w="100" w:type="dxa"/>
              <w:right w:w="100" w:type="dxa"/>
            </w:tcMar>
          </w:tcPr>
          <w:p w14:paraId="6C41674B" w14:textId="77777777" w:rsidR="00AA4E85" w:rsidRPr="00CD0E29" w:rsidRDefault="00AA4E85" w:rsidP="00075967">
            <w:pPr>
              <w:rPr>
                <w:rFonts w:cs="Arial"/>
                <w:sz w:val="20"/>
                <w:szCs w:val="20"/>
              </w:rPr>
            </w:pPr>
            <w:proofErr w:type="spellStart"/>
            <w:r w:rsidRPr="00CD0E29">
              <w:rPr>
                <w:rFonts w:cs="Arial"/>
                <w:sz w:val="20"/>
                <w:szCs w:val="20"/>
              </w:rPr>
              <w:t>pcp_other</w:t>
            </w:r>
            <w:proofErr w:type="spellEnd"/>
          </w:p>
        </w:tc>
        <w:tc>
          <w:tcPr>
            <w:tcW w:w="1380" w:type="dxa"/>
            <w:tcBorders>
              <w:top w:val="single" w:sz="4" w:space="0" w:color="000000" w:themeColor="text1"/>
              <w:left w:val="nil"/>
              <w:right w:val="nil"/>
            </w:tcBorders>
            <w:tcMar>
              <w:top w:w="100" w:type="dxa"/>
              <w:left w:w="100" w:type="dxa"/>
              <w:bottom w:w="100" w:type="dxa"/>
              <w:right w:w="100" w:type="dxa"/>
            </w:tcMar>
          </w:tcPr>
          <w:p w14:paraId="2424A035" w14:textId="77777777" w:rsidR="00AA4E85" w:rsidRPr="00CD0E29" w:rsidRDefault="00AA4E85" w:rsidP="00075967">
            <w:pPr>
              <w:rPr>
                <w:rFonts w:cs="Arial"/>
                <w:sz w:val="20"/>
                <w:szCs w:val="20"/>
              </w:rPr>
            </w:pPr>
            <w:r w:rsidRPr="00CD0E29">
              <w:rPr>
                <w:rFonts w:cs="Arial"/>
                <w:sz w:val="20"/>
                <w:szCs w:val="20"/>
              </w:rPr>
              <w:t>Other</w:t>
            </w:r>
          </w:p>
        </w:tc>
        <w:tc>
          <w:tcPr>
            <w:tcW w:w="1540" w:type="dxa"/>
            <w:tcBorders>
              <w:top w:val="single" w:sz="4" w:space="0" w:color="000000" w:themeColor="text1"/>
              <w:left w:val="nil"/>
            </w:tcBorders>
            <w:tcMar>
              <w:top w:w="100" w:type="dxa"/>
              <w:left w:w="100" w:type="dxa"/>
              <w:bottom w:w="100" w:type="dxa"/>
              <w:right w:w="100" w:type="dxa"/>
            </w:tcMar>
          </w:tcPr>
          <w:p w14:paraId="2C22E3C0" w14:textId="77777777" w:rsidR="00AA4E85" w:rsidRPr="00CD0E29" w:rsidRDefault="00AA4E85" w:rsidP="00075967">
            <w:pPr>
              <w:rPr>
                <w:rFonts w:cs="Arial"/>
                <w:sz w:val="20"/>
                <w:szCs w:val="20"/>
              </w:rPr>
            </w:pPr>
            <w:r w:rsidRPr="00CD0E29">
              <w:rPr>
                <w:rFonts w:cs="Arial"/>
                <w:sz w:val="20"/>
                <w:szCs w:val="20"/>
              </w:rPr>
              <w:t xml:space="preserve"> **</w:t>
            </w:r>
          </w:p>
        </w:tc>
      </w:tr>
      <w:tr w:rsidR="00AA4E85" w:rsidRPr="00CD0E29" w14:paraId="7624E654" w14:textId="77777777" w:rsidTr="00075967">
        <w:trPr>
          <w:trHeight w:val="740"/>
        </w:trPr>
        <w:tc>
          <w:tcPr>
            <w:tcW w:w="900" w:type="dxa"/>
            <w:tcBorders>
              <w:top w:val="single" w:sz="4" w:space="0" w:color="000000" w:themeColor="text1"/>
              <w:right w:val="nil"/>
            </w:tcBorders>
            <w:tcMar>
              <w:top w:w="100" w:type="dxa"/>
              <w:left w:w="100" w:type="dxa"/>
              <w:bottom w:w="100" w:type="dxa"/>
              <w:right w:w="100" w:type="dxa"/>
            </w:tcMar>
          </w:tcPr>
          <w:p w14:paraId="6CC3516E" w14:textId="77777777" w:rsidR="00AA4E85" w:rsidRPr="00CD0E29" w:rsidRDefault="00AA4E85" w:rsidP="00075967">
            <w:pPr>
              <w:rPr>
                <w:rFonts w:cs="Arial"/>
                <w:sz w:val="20"/>
                <w:szCs w:val="20"/>
              </w:rPr>
            </w:pPr>
          </w:p>
        </w:tc>
        <w:tc>
          <w:tcPr>
            <w:tcW w:w="2435" w:type="dxa"/>
            <w:tcBorders>
              <w:top w:val="single" w:sz="4" w:space="0" w:color="000000" w:themeColor="text1"/>
              <w:left w:val="nil"/>
              <w:right w:val="nil"/>
            </w:tcBorders>
            <w:tcMar>
              <w:top w:w="100" w:type="dxa"/>
              <w:left w:w="100" w:type="dxa"/>
              <w:bottom w:w="100" w:type="dxa"/>
              <w:right w:w="100" w:type="dxa"/>
            </w:tcMar>
          </w:tcPr>
          <w:p w14:paraId="1C17DF33" w14:textId="77777777" w:rsidR="00AA4E85" w:rsidRPr="00CD0E29" w:rsidRDefault="00AA4E85" w:rsidP="00075967">
            <w:pPr>
              <w:rPr>
                <w:rFonts w:cs="Arial"/>
                <w:sz w:val="20"/>
                <w:szCs w:val="20"/>
              </w:rPr>
            </w:pPr>
            <w:r w:rsidRPr="00CD0E29">
              <w:rPr>
                <w:rFonts w:cs="Arial"/>
                <w:sz w:val="20"/>
                <w:szCs w:val="20"/>
              </w:rPr>
              <w:t>SPAP Policy link, notice, statement, label</w:t>
            </w:r>
          </w:p>
        </w:tc>
        <w:tc>
          <w:tcPr>
            <w:tcW w:w="1395" w:type="dxa"/>
            <w:tcBorders>
              <w:top w:val="single" w:sz="4" w:space="0" w:color="000000" w:themeColor="text1"/>
              <w:left w:val="nil"/>
              <w:right w:val="nil"/>
            </w:tcBorders>
            <w:tcMar>
              <w:top w:w="100" w:type="dxa"/>
              <w:left w:w="100" w:type="dxa"/>
              <w:bottom w:w="100" w:type="dxa"/>
              <w:right w:w="100" w:type="dxa"/>
            </w:tcMar>
          </w:tcPr>
          <w:p w14:paraId="5ADA7321" w14:textId="77777777" w:rsidR="00AA4E85" w:rsidRPr="00CD0E29" w:rsidRDefault="00AA4E85" w:rsidP="00075967">
            <w:pPr>
              <w:rPr>
                <w:rFonts w:cs="Arial"/>
                <w:sz w:val="20"/>
                <w:szCs w:val="20"/>
              </w:rPr>
            </w:pPr>
            <w:r w:rsidRPr="00CD0E29">
              <w:rPr>
                <w:rFonts w:cs="Arial"/>
                <w:sz w:val="20"/>
                <w:szCs w:val="20"/>
              </w:rPr>
              <w:t>text</w:t>
            </w:r>
          </w:p>
        </w:tc>
        <w:tc>
          <w:tcPr>
            <w:tcW w:w="2610" w:type="dxa"/>
            <w:tcBorders>
              <w:top w:val="single" w:sz="4" w:space="0" w:color="000000" w:themeColor="text1"/>
              <w:left w:val="nil"/>
              <w:right w:val="nil"/>
            </w:tcBorders>
            <w:tcMar>
              <w:top w:w="100" w:type="dxa"/>
              <w:left w:w="100" w:type="dxa"/>
              <w:bottom w:w="100" w:type="dxa"/>
              <w:right w:w="100" w:type="dxa"/>
            </w:tcMar>
          </w:tcPr>
          <w:p w14:paraId="097F9D65" w14:textId="77777777" w:rsidR="00AA4E85" w:rsidRPr="00CD0E29" w:rsidRDefault="00AA4E85" w:rsidP="00075967">
            <w:pPr>
              <w:rPr>
                <w:rFonts w:cs="Arial"/>
                <w:sz w:val="20"/>
                <w:szCs w:val="20"/>
              </w:rPr>
            </w:pPr>
            <w:proofErr w:type="spellStart"/>
            <w:r w:rsidRPr="00CD0E29">
              <w:rPr>
                <w:rFonts w:cs="Arial"/>
                <w:sz w:val="20"/>
                <w:szCs w:val="20"/>
              </w:rPr>
              <w:t>pcpn</w:t>
            </w:r>
            <w:proofErr w:type="spellEnd"/>
            <w:r w:rsidRPr="00CD0E29">
              <w:rPr>
                <w:rFonts w:cs="Arial"/>
                <w:sz w:val="20"/>
                <w:szCs w:val="20"/>
              </w:rPr>
              <w:t>/</w:t>
            </w:r>
          </w:p>
        </w:tc>
        <w:tc>
          <w:tcPr>
            <w:tcW w:w="1380" w:type="dxa"/>
            <w:tcBorders>
              <w:top w:val="single" w:sz="4" w:space="0" w:color="000000" w:themeColor="text1"/>
              <w:left w:val="nil"/>
              <w:right w:val="nil"/>
            </w:tcBorders>
            <w:tcMar>
              <w:top w:w="100" w:type="dxa"/>
              <w:left w:w="100" w:type="dxa"/>
              <w:bottom w:w="100" w:type="dxa"/>
              <w:right w:w="100" w:type="dxa"/>
            </w:tcMar>
          </w:tcPr>
          <w:p w14:paraId="7FC5EE73" w14:textId="77777777" w:rsidR="00AA4E85" w:rsidRPr="00CD0E29" w:rsidRDefault="00AA4E85" w:rsidP="00075967">
            <w:pPr>
              <w:rPr>
                <w:rFonts w:cs="Arial"/>
                <w:sz w:val="20"/>
                <w:szCs w:val="20"/>
              </w:rPr>
            </w:pPr>
            <w:r w:rsidRPr="00CD0E29">
              <w:rPr>
                <w:rFonts w:cs="Arial"/>
                <w:sz w:val="20"/>
                <w:szCs w:val="20"/>
              </w:rPr>
              <w:t xml:space="preserve">the means of privacy </w:t>
            </w:r>
          </w:p>
        </w:tc>
        <w:tc>
          <w:tcPr>
            <w:tcW w:w="1540" w:type="dxa"/>
            <w:tcBorders>
              <w:top w:val="single" w:sz="4" w:space="0" w:color="000000" w:themeColor="text1"/>
              <w:left w:val="nil"/>
            </w:tcBorders>
            <w:tcMar>
              <w:top w:w="100" w:type="dxa"/>
              <w:left w:w="100" w:type="dxa"/>
              <w:bottom w:w="100" w:type="dxa"/>
              <w:right w:w="100" w:type="dxa"/>
            </w:tcMar>
          </w:tcPr>
          <w:p w14:paraId="6759ABE9" w14:textId="77777777" w:rsidR="00AA4E85" w:rsidRPr="00CD0E29" w:rsidRDefault="00AA4E85" w:rsidP="00075967">
            <w:pPr>
              <w:keepNext/>
              <w:rPr>
                <w:rFonts w:cs="Arial"/>
                <w:sz w:val="20"/>
                <w:szCs w:val="20"/>
              </w:rPr>
            </w:pPr>
            <w:r w:rsidRPr="00CD0E29">
              <w:rPr>
                <w:rFonts w:cs="Arial"/>
                <w:sz w:val="20"/>
                <w:szCs w:val="20"/>
              </w:rPr>
              <w:t>MUST</w:t>
            </w:r>
          </w:p>
        </w:tc>
      </w:tr>
    </w:tbl>
    <w:p w14:paraId="383070E3" w14:textId="0CB3F273" w:rsidR="00EF7595" w:rsidRDefault="00EF7595">
      <w:r>
        <w:br w:type="page"/>
      </w:r>
    </w:p>
    <w:p w14:paraId="6F42F2C1" w14:textId="6D65E105" w:rsidR="00EF7595" w:rsidRPr="00CD0E29" w:rsidRDefault="00CD0E29" w:rsidP="00CD0E29">
      <w:pPr>
        <w:pStyle w:val="Heading1"/>
        <w:spacing w:line="240" w:lineRule="auto"/>
      </w:pPr>
      <w:bookmarkStart w:id="43" w:name="_Toc193376365"/>
      <w:r w:rsidRPr="00CD0E29">
        <w:lastRenderedPageBreak/>
        <w:t>9</w:t>
      </w:r>
      <w:r w:rsidR="00EF7595" w:rsidRPr="00CD0E29">
        <w:t xml:space="preserve">. </w:t>
      </w:r>
      <w:r w:rsidR="000E0465" w:rsidRPr="00CD0E29">
        <w:t>Appendix B</w:t>
      </w:r>
      <w:r>
        <w:t>:</w:t>
      </w:r>
      <w:r w:rsidR="000E0465" w:rsidRPr="00CD0E29">
        <w:t xml:space="preserve"> Role Mapping Across Privacy and Security Instruments</w:t>
      </w:r>
      <w:bookmarkEnd w:id="43"/>
    </w:p>
    <w:p w14:paraId="7667D4F7" w14:textId="77777777" w:rsidR="00EF7595" w:rsidRPr="009348C9" w:rsidRDefault="00EF7595" w:rsidP="00CD0E29">
      <w:pPr>
        <w:spacing w:line="240" w:lineRule="auto"/>
        <w:rPr>
          <w:szCs w:val="22"/>
        </w:rPr>
      </w:pPr>
      <w:r>
        <w:rPr>
          <w:noProof/>
          <w:color w:val="000000" w:themeColor="text1"/>
        </w:rPr>
        <mc:AlternateContent>
          <mc:Choice Requires="wps">
            <w:drawing>
              <wp:anchor distT="0" distB="0" distL="114300" distR="114300" simplePos="0" relativeHeight="251677696" behindDoc="0" locked="0" layoutInCell="1" allowOverlap="1" wp14:anchorId="62F509F4" wp14:editId="7C441BE6">
                <wp:simplePos x="0" y="0"/>
                <wp:positionH relativeFrom="column">
                  <wp:posOffset>-66040</wp:posOffset>
                </wp:positionH>
                <wp:positionV relativeFrom="paragraph">
                  <wp:posOffset>5715</wp:posOffset>
                </wp:positionV>
                <wp:extent cx="5943600" cy="0"/>
                <wp:effectExtent l="0" t="0" r="12700" b="12700"/>
                <wp:wrapNone/>
                <wp:docPr id="1723643898"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0D9E0"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" strokecolor="black [3213]" strokeweight=".5pt">
                <v:stroke joinstyle="miter"/>
              </v:line>
            </w:pict>
          </mc:Fallback>
        </mc:AlternateContent>
      </w:r>
    </w:p>
    <w:p w14:paraId="470E14ED" w14:textId="77777777" w:rsidR="000E0465" w:rsidRPr="00CD0E29" w:rsidRDefault="000E0465" w:rsidP="00CD0E29">
      <w:pPr>
        <w:pBdr>
          <w:top w:val="nil"/>
          <w:left w:val="nil"/>
          <w:bottom w:val="nil"/>
          <w:right w:val="nil"/>
          <w:between w:val="nil"/>
        </w:pBdr>
        <w:rPr>
          <w:rFonts w:cs="Arial"/>
          <w:color w:val="000000"/>
          <w:szCs w:val="22"/>
        </w:rPr>
      </w:pPr>
      <w:r w:rsidRPr="00CD0E29">
        <w:rPr>
          <w:rFonts w:eastAsia="Times New Roman" w:cs="Arial"/>
          <w:color w:val="000000"/>
          <w:szCs w:val="22"/>
        </w:rPr>
        <w:t>ISO/IEC 29100 security and privacy framework standard maps terms in the standard itself, for example PII Principal is mapped to the Data Subject.</w:t>
      </w:r>
    </w:p>
    <w:p w14:paraId="29173BD1" w14:textId="0C555336" w:rsidR="002E3621" w:rsidRPr="00940F4C" w:rsidRDefault="000E0465" w:rsidP="00940F4C">
      <w:pPr>
        <w:pBdr>
          <w:top w:val="nil"/>
          <w:left w:val="nil"/>
          <w:bottom w:val="nil"/>
          <w:right w:val="nil"/>
          <w:between w:val="nil"/>
        </w:pBdr>
        <w:spacing w:line="480" w:lineRule="auto"/>
        <w:rPr>
          <w:rFonts w:cs="Arial"/>
          <w:color w:val="000000"/>
          <w:szCs w:val="22"/>
        </w:rPr>
      </w:pPr>
      <w:r w:rsidRPr="00CD0E29">
        <w:rPr>
          <w:rFonts w:eastAsia="Times New Roman" w:cs="Arial"/>
          <w:color w:val="000000"/>
          <w:szCs w:val="22"/>
        </w:rPr>
        <w:t>The ANCR Record Framework is used to specify Transparency Performance Indicators (TPIs)</w:t>
      </w:r>
      <w:r w:rsidR="002E3621">
        <w:rPr>
          <w:rFonts w:eastAsia="Times New Roman" w:cs="Arial"/>
          <w:color w:val="000000"/>
          <w:szCs w:val="22"/>
        </w:rPr>
        <w:t>.</w:t>
      </w:r>
    </w:p>
    <w:p w14:paraId="2D1CB58D" w14:textId="3BB43B92" w:rsidR="00940F4C" w:rsidRPr="00564F90" w:rsidRDefault="00564F90" w:rsidP="00564F90">
      <w:pPr>
        <w:pStyle w:val="Caption"/>
        <w:rPr>
          <w:color w:val="000000" w:themeColor="text1"/>
          <w:sz w:val="22"/>
          <w:szCs w:val="22"/>
        </w:rPr>
      </w:pPr>
      <w:bookmarkStart w:id="44" w:name="_Toc193376383"/>
      <w:r w:rsidRPr="00564F90">
        <w:rPr>
          <w:color w:val="000000" w:themeColor="text1"/>
          <w:sz w:val="22"/>
          <w:szCs w:val="22"/>
        </w:rPr>
        <w:t>Table B.</w:t>
      </w:r>
      <w:r w:rsidRPr="00564F90">
        <w:rPr>
          <w:color w:val="000000" w:themeColor="text1"/>
          <w:sz w:val="22"/>
          <w:szCs w:val="22"/>
        </w:rPr>
        <w:fldChar w:fldCharType="begin"/>
      </w:r>
      <w:r w:rsidRPr="00564F90">
        <w:rPr>
          <w:color w:val="000000" w:themeColor="text1"/>
          <w:sz w:val="22"/>
          <w:szCs w:val="22"/>
        </w:rPr>
        <w:instrText xml:space="preserve"> SEQ Table_B. \* ARABIC </w:instrText>
      </w:r>
      <w:r w:rsidRPr="00564F90">
        <w:rPr>
          <w:color w:val="000000" w:themeColor="text1"/>
          <w:sz w:val="22"/>
          <w:szCs w:val="22"/>
        </w:rPr>
        <w:fldChar w:fldCharType="separate"/>
      </w:r>
      <w:r w:rsidRPr="00564F90">
        <w:rPr>
          <w:noProof/>
          <w:color w:val="000000" w:themeColor="text1"/>
          <w:sz w:val="22"/>
          <w:szCs w:val="22"/>
        </w:rPr>
        <w:t>1</w:t>
      </w:r>
      <w:r w:rsidRPr="00564F90">
        <w:rPr>
          <w:color w:val="000000" w:themeColor="text1"/>
          <w:sz w:val="22"/>
          <w:szCs w:val="22"/>
        </w:rPr>
        <w:fldChar w:fldCharType="end"/>
      </w:r>
      <w:r w:rsidRPr="00564F90">
        <w:rPr>
          <w:color w:val="000000" w:themeColor="text1"/>
          <w:sz w:val="22"/>
          <w:szCs w:val="22"/>
        </w:rPr>
        <w:t xml:space="preserve"> Role Mapping</w:t>
      </w:r>
      <w:bookmarkEnd w:id="44"/>
    </w:p>
    <w:tbl>
      <w:tblPr>
        <w:tblW w:w="9343" w:type="dxa"/>
        <w:tblBorders>
          <w:bottom w:val="single" w:sz="6"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475"/>
        <w:gridCol w:w="1500"/>
        <w:gridCol w:w="1477"/>
        <w:gridCol w:w="1366"/>
        <w:gridCol w:w="1597"/>
        <w:gridCol w:w="1928"/>
      </w:tblGrid>
      <w:tr w:rsidR="000E0465" w:rsidRPr="00A018BC" w14:paraId="3F7828AE" w14:textId="77777777" w:rsidTr="00A018BC">
        <w:trPr>
          <w:cantSplit/>
        </w:trPr>
        <w:tc>
          <w:tcPr>
            <w:tcW w:w="1475" w:type="dxa"/>
            <w:tcBorders>
              <w:top w:val="single" w:sz="6" w:space="0" w:color="000000" w:themeColor="text1"/>
              <w:right w:val="nil"/>
            </w:tcBorders>
            <w:tcMar>
              <w:top w:w="75" w:type="dxa"/>
              <w:left w:w="75" w:type="dxa"/>
              <w:bottom w:w="75" w:type="dxa"/>
              <w:right w:w="75" w:type="dxa"/>
            </w:tcMar>
          </w:tcPr>
          <w:p w14:paraId="68BF20FE" w14:textId="77777777" w:rsidR="000E0465" w:rsidRPr="00A018BC" w:rsidRDefault="000E0465" w:rsidP="00A018BC">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Stakeholder</w:t>
            </w:r>
          </w:p>
        </w:tc>
        <w:tc>
          <w:tcPr>
            <w:tcW w:w="1500" w:type="dxa"/>
            <w:tcBorders>
              <w:top w:val="single" w:sz="6" w:space="0" w:color="000000" w:themeColor="text1"/>
              <w:left w:val="nil"/>
              <w:right w:val="nil"/>
            </w:tcBorders>
            <w:tcMar>
              <w:top w:w="75" w:type="dxa"/>
              <w:left w:w="75" w:type="dxa"/>
              <w:bottom w:w="75" w:type="dxa"/>
              <w:right w:w="75" w:type="dxa"/>
            </w:tcMar>
          </w:tcPr>
          <w:p w14:paraId="07619D5F" w14:textId="77777777" w:rsidR="000E0465" w:rsidRPr="00A018BC" w:rsidRDefault="000E0465" w:rsidP="00A018BC">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ISO/IEC 29100</w:t>
            </w:r>
          </w:p>
        </w:tc>
        <w:tc>
          <w:tcPr>
            <w:tcW w:w="1477" w:type="dxa"/>
            <w:tcBorders>
              <w:top w:val="single" w:sz="6" w:space="0" w:color="000000" w:themeColor="text1"/>
              <w:left w:val="nil"/>
              <w:right w:val="nil"/>
            </w:tcBorders>
            <w:tcMar>
              <w:top w:w="75" w:type="dxa"/>
              <w:left w:w="75" w:type="dxa"/>
              <w:bottom w:w="75" w:type="dxa"/>
              <w:right w:w="75" w:type="dxa"/>
            </w:tcMar>
          </w:tcPr>
          <w:p w14:paraId="46DF0AF8" w14:textId="77777777" w:rsidR="000E0465" w:rsidRPr="00A018BC" w:rsidRDefault="000E0465" w:rsidP="00A018BC">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Conv 108+</w:t>
            </w:r>
          </w:p>
        </w:tc>
        <w:tc>
          <w:tcPr>
            <w:tcW w:w="1366" w:type="dxa"/>
            <w:tcBorders>
              <w:top w:val="single" w:sz="6" w:space="0" w:color="000000" w:themeColor="text1"/>
              <w:left w:val="nil"/>
              <w:right w:val="nil"/>
            </w:tcBorders>
            <w:tcMar>
              <w:top w:w="75" w:type="dxa"/>
              <w:left w:w="75" w:type="dxa"/>
              <w:bottom w:w="75" w:type="dxa"/>
              <w:right w:w="75" w:type="dxa"/>
            </w:tcMar>
          </w:tcPr>
          <w:p w14:paraId="75B4B48A" w14:textId="77777777" w:rsidR="000E0465" w:rsidRPr="00A018BC" w:rsidRDefault="000E0465" w:rsidP="00A018BC">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GDPR</w:t>
            </w:r>
          </w:p>
        </w:tc>
        <w:tc>
          <w:tcPr>
            <w:tcW w:w="1597" w:type="dxa"/>
            <w:tcBorders>
              <w:top w:val="single" w:sz="6" w:space="0" w:color="000000" w:themeColor="text1"/>
              <w:left w:val="nil"/>
              <w:right w:val="nil"/>
            </w:tcBorders>
            <w:tcMar>
              <w:top w:w="75" w:type="dxa"/>
              <w:left w:w="75" w:type="dxa"/>
              <w:bottom w:w="75" w:type="dxa"/>
              <w:right w:w="75" w:type="dxa"/>
            </w:tcMar>
          </w:tcPr>
          <w:p w14:paraId="307F1A47" w14:textId="77777777" w:rsidR="000E0465" w:rsidRPr="00A018BC" w:rsidRDefault="000E0465" w:rsidP="00A018BC">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PIPEDA</w:t>
            </w:r>
          </w:p>
        </w:tc>
        <w:tc>
          <w:tcPr>
            <w:tcW w:w="1928" w:type="dxa"/>
            <w:tcBorders>
              <w:top w:val="single" w:sz="6" w:space="0" w:color="000000" w:themeColor="text1"/>
              <w:left w:val="nil"/>
            </w:tcBorders>
            <w:tcMar>
              <w:top w:w="75" w:type="dxa"/>
              <w:left w:w="75" w:type="dxa"/>
              <w:bottom w:w="75" w:type="dxa"/>
              <w:right w:w="75" w:type="dxa"/>
            </w:tcMar>
          </w:tcPr>
          <w:p w14:paraId="171FF149" w14:textId="77777777" w:rsidR="000E0465" w:rsidRPr="00A018BC" w:rsidRDefault="000E0465" w:rsidP="00A018BC">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Quebec Law 25</w:t>
            </w:r>
            <w:r w:rsidRPr="00A018BC">
              <w:rPr>
                <w:rFonts w:eastAsia="Times New Roman" w:cs="Arial"/>
                <w:bCs/>
                <w:color w:val="0000FF"/>
                <w:sz w:val="20"/>
                <w:szCs w:val="20"/>
                <w:u w:val="single"/>
              </w:rPr>
              <w:t>[1]</w:t>
            </w:r>
          </w:p>
        </w:tc>
      </w:tr>
      <w:tr w:rsidR="000E0465" w:rsidRPr="00A018BC" w14:paraId="099E8321" w14:textId="77777777" w:rsidTr="00A018BC">
        <w:trPr>
          <w:cantSplit/>
        </w:trPr>
        <w:tc>
          <w:tcPr>
            <w:tcW w:w="1475" w:type="dxa"/>
            <w:tcBorders>
              <w:top w:val="single" w:sz="6" w:space="0" w:color="000000" w:themeColor="text1"/>
              <w:right w:val="nil"/>
            </w:tcBorders>
            <w:tcMar>
              <w:top w:w="75" w:type="dxa"/>
              <w:left w:w="75" w:type="dxa"/>
              <w:bottom w:w="75" w:type="dxa"/>
              <w:right w:w="75" w:type="dxa"/>
            </w:tcMar>
          </w:tcPr>
          <w:p w14:paraId="7FBD66A9"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Regulator</w:t>
            </w:r>
          </w:p>
        </w:tc>
        <w:tc>
          <w:tcPr>
            <w:tcW w:w="1500" w:type="dxa"/>
            <w:tcBorders>
              <w:top w:val="single" w:sz="6" w:space="0" w:color="000000" w:themeColor="text1"/>
              <w:left w:val="nil"/>
              <w:right w:val="nil"/>
            </w:tcBorders>
            <w:tcMar>
              <w:top w:w="75" w:type="dxa"/>
              <w:left w:w="75" w:type="dxa"/>
              <w:bottom w:w="75" w:type="dxa"/>
              <w:right w:w="75" w:type="dxa"/>
            </w:tcMar>
          </w:tcPr>
          <w:p w14:paraId="20185E3A"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Privacy Supervising Authority</w:t>
            </w:r>
          </w:p>
        </w:tc>
        <w:tc>
          <w:tcPr>
            <w:tcW w:w="1477" w:type="dxa"/>
            <w:tcBorders>
              <w:top w:val="single" w:sz="6" w:space="0" w:color="000000" w:themeColor="text1"/>
              <w:left w:val="nil"/>
              <w:right w:val="nil"/>
            </w:tcBorders>
            <w:tcMar>
              <w:top w:w="75" w:type="dxa"/>
              <w:left w:w="75" w:type="dxa"/>
              <w:bottom w:w="75" w:type="dxa"/>
              <w:right w:w="75" w:type="dxa"/>
            </w:tcMar>
          </w:tcPr>
          <w:p w14:paraId="61E3A212"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Supervisory Authority</w:t>
            </w:r>
          </w:p>
        </w:tc>
        <w:tc>
          <w:tcPr>
            <w:tcW w:w="1366" w:type="dxa"/>
            <w:tcBorders>
              <w:top w:val="single" w:sz="6" w:space="0" w:color="000000" w:themeColor="text1"/>
              <w:left w:val="nil"/>
              <w:right w:val="nil"/>
            </w:tcBorders>
            <w:tcMar>
              <w:top w:w="75" w:type="dxa"/>
              <w:left w:w="75" w:type="dxa"/>
              <w:bottom w:w="75" w:type="dxa"/>
              <w:right w:w="75" w:type="dxa"/>
            </w:tcMar>
          </w:tcPr>
          <w:p w14:paraId="74CD85EC"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Data Protection Authority</w:t>
            </w:r>
          </w:p>
        </w:tc>
        <w:tc>
          <w:tcPr>
            <w:tcW w:w="1597" w:type="dxa"/>
            <w:tcBorders>
              <w:top w:val="single" w:sz="6" w:space="0" w:color="000000" w:themeColor="text1"/>
              <w:left w:val="nil"/>
              <w:right w:val="nil"/>
            </w:tcBorders>
            <w:tcMar>
              <w:top w:w="75" w:type="dxa"/>
              <w:left w:w="75" w:type="dxa"/>
              <w:bottom w:w="75" w:type="dxa"/>
              <w:right w:w="75" w:type="dxa"/>
            </w:tcMar>
          </w:tcPr>
          <w:p w14:paraId="0B979278"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Privacy Commissioner</w:t>
            </w:r>
          </w:p>
        </w:tc>
        <w:tc>
          <w:tcPr>
            <w:tcW w:w="1928" w:type="dxa"/>
            <w:tcBorders>
              <w:top w:val="single" w:sz="6" w:space="0" w:color="000000" w:themeColor="text1"/>
              <w:left w:val="nil"/>
            </w:tcBorders>
            <w:tcMar>
              <w:top w:w="75" w:type="dxa"/>
              <w:left w:w="75" w:type="dxa"/>
              <w:bottom w:w="75" w:type="dxa"/>
              <w:right w:w="75" w:type="dxa"/>
            </w:tcMar>
          </w:tcPr>
          <w:p w14:paraId="50DAB014"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Commission d’accès à l’information du Québec</w:t>
            </w:r>
          </w:p>
          <w:p w14:paraId="70A1C8BA"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 </w:t>
            </w:r>
          </w:p>
        </w:tc>
      </w:tr>
      <w:tr w:rsidR="000E0465" w:rsidRPr="00A018BC" w14:paraId="76204991" w14:textId="77777777" w:rsidTr="00A018BC">
        <w:trPr>
          <w:cantSplit/>
        </w:trPr>
        <w:tc>
          <w:tcPr>
            <w:tcW w:w="1475" w:type="dxa"/>
            <w:tcBorders>
              <w:top w:val="single" w:sz="6" w:space="0" w:color="000000" w:themeColor="text1"/>
              <w:right w:val="nil"/>
            </w:tcBorders>
            <w:tcMar>
              <w:top w:w="75" w:type="dxa"/>
              <w:left w:w="75" w:type="dxa"/>
              <w:bottom w:w="75" w:type="dxa"/>
              <w:right w:w="75" w:type="dxa"/>
            </w:tcMar>
          </w:tcPr>
          <w:p w14:paraId="211950B2"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Principal</w:t>
            </w:r>
          </w:p>
        </w:tc>
        <w:tc>
          <w:tcPr>
            <w:tcW w:w="1500" w:type="dxa"/>
            <w:tcBorders>
              <w:top w:val="single" w:sz="6" w:space="0" w:color="000000" w:themeColor="text1"/>
              <w:left w:val="nil"/>
              <w:right w:val="nil"/>
            </w:tcBorders>
            <w:tcMar>
              <w:top w:w="75" w:type="dxa"/>
              <w:left w:w="75" w:type="dxa"/>
              <w:bottom w:w="75" w:type="dxa"/>
              <w:right w:w="75" w:type="dxa"/>
            </w:tcMar>
          </w:tcPr>
          <w:p w14:paraId="63398FFC"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PII Principal</w:t>
            </w:r>
          </w:p>
        </w:tc>
        <w:tc>
          <w:tcPr>
            <w:tcW w:w="1477" w:type="dxa"/>
            <w:tcBorders>
              <w:top w:val="single" w:sz="6" w:space="0" w:color="000000" w:themeColor="text1"/>
              <w:left w:val="nil"/>
              <w:right w:val="nil"/>
            </w:tcBorders>
            <w:tcMar>
              <w:top w:w="75" w:type="dxa"/>
              <w:left w:w="75" w:type="dxa"/>
              <w:bottom w:w="75" w:type="dxa"/>
              <w:right w:w="75" w:type="dxa"/>
            </w:tcMar>
          </w:tcPr>
          <w:p w14:paraId="32558FCA"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Data Subject</w:t>
            </w:r>
          </w:p>
        </w:tc>
        <w:tc>
          <w:tcPr>
            <w:tcW w:w="1366" w:type="dxa"/>
            <w:tcBorders>
              <w:top w:val="single" w:sz="6" w:space="0" w:color="000000" w:themeColor="text1"/>
              <w:left w:val="nil"/>
              <w:right w:val="nil"/>
            </w:tcBorders>
            <w:tcMar>
              <w:top w:w="75" w:type="dxa"/>
              <w:left w:w="75" w:type="dxa"/>
              <w:bottom w:w="75" w:type="dxa"/>
              <w:right w:w="75" w:type="dxa"/>
            </w:tcMar>
          </w:tcPr>
          <w:p w14:paraId="1779F8AD"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Data Subject</w:t>
            </w:r>
          </w:p>
        </w:tc>
        <w:tc>
          <w:tcPr>
            <w:tcW w:w="1597" w:type="dxa"/>
            <w:tcBorders>
              <w:top w:val="single" w:sz="6" w:space="0" w:color="000000" w:themeColor="text1"/>
              <w:left w:val="nil"/>
              <w:right w:val="nil"/>
            </w:tcBorders>
            <w:tcMar>
              <w:top w:w="75" w:type="dxa"/>
              <w:left w:w="75" w:type="dxa"/>
              <w:bottom w:w="75" w:type="dxa"/>
              <w:right w:w="75" w:type="dxa"/>
            </w:tcMar>
          </w:tcPr>
          <w:p w14:paraId="3D45B27B"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Individual</w:t>
            </w:r>
          </w:p>
        </w:tc>
        <w:tc>
          <w:tcPr>
            <w:tcW w:w="1928" w:type="dxa"/>
            <w:tcBorders>
              <w:top w:val="single" w:sz="6" w:space="0" w:color="000000" w:themeColor="text1"/>
              <w:left w:val="nil"/>
            </w:tcBorders>
            <w:tcMar>
              <w:top w:w="75" w:type="dxa"/>
              <w:left w:w="75" w:type="dxa"/>
              <w:bottom w:w="75" w:type="dxa"/>
              <w:right w:w="75" w:type="dxa"/>
            </w:tcMar>
          </w:tcPr>
          <w:p w14:paraId="35DCE3EA"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Concerned Person (or person concerned)</w:t>
            </w:r>
          </w:p>
        </w:tc>
      </w:tr>
      <w:tr w:rsidR="000E0465" w:rsidRPr="00A018BC" w14:paraId="36735032" w14:textId="77777777" w:rsidTr="00A018BC">
        <w:trPr>
          <w:cantSplit/>
        </w:trPr>
        <w:tc>
          <w:tcPr>
            <w:tcW w:w="1475" w:type="dxa"/>
            <w:tcBorders>
              <w:top w:val="single" w:sz="6" w:space="0" w:color="000000" w:themeColor="text1"/>
              <w:right w:val="nil"/>
            </w:tcBorders>
            <w:tcMar>
              <w:top w:w="75" w:type="dxa"/>
              <w:left w:w="75" w:type="dxa"/>
              <w:bottom w:w="75" w:type="dxa"/>
              <w:right w:w="75" w:type="dxa"/>
            </w:tcMar>
          </w:tcPr>
          <w:p w14:paraId="4FB33D68"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Controller</w:t>
            </w:r>
          </w:p>
        </w:tc>
        <w:tc>
          <w:tcPr>
            <w:tcW w:w="1500" w:type="dxa"/>
            <w:tcBorders>
              <w:top w:val="single" w:sz="6" w:space="0" w:color="000000" w:themeColor="text1"/>
              <w:left w:val="nil"/>
              <w:right w:val="nil"/>
            </w:tcBorders>
            <w:tcMar>
              <w:top w:w="75" w:type="dxa"/>
              <w:left w:w="75" w:type="dxa"/>
              <w:bottom w:w="75" w:type="dxa"/>
              <w:right w:w="75" w:type="dxa"/>
            </w:tcMar>
          </w:tcPr>
          <w:p w14:paraId="2A4790AE"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PII Controller</w:t>
            </w:r>
          </w:p>
        </w:tc>
        <w:tc>
          <w:tcPr>
            <w:tcW w:w="1477" w:type="dxa"/>
            <w:tcBorders>
              <w:top w:val="single" w:sz="6" w:space="0" w:color="000000" w:themeColor="text1"/>
              <w:left w:val="nil"/>
              <w:right w:val="nil"/>
            </w:tcBorders>
            <w:tcMar>
              <w:top w:w="75" w:type="dxa"/>
              <w:left w:w="75" w:type="dxa"/>
              <w:bottom w:w="75" w:type="dxa"/>
              <w:right w:w="75" w:type="dxa"/>
            </w:tcMar>
          </w:tcPr>
          <w:p w14:paraId="16862B25"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Data Controller</w:t>
            </w:r>
          </w:p>
        </w:tc>
        <w:tc>
          <w:tcPr>
            <w:tcW w:w="1366" w:type="dxa"/>
            <w:tcBorders>
              <w:top w:val="single" w:sz="6" w:space="0" w:color="000000" w:themeColor="text1"/>
              <w:left w:val="nil"/>
              <w:right w:val="nil"/>
            </w:tcBorders>
            <w:tcMar>
              <w:top w:w="75" w:type="dxa"/>
              <w:left w:w="75" w:type="dxa"/>
              <w:bottom w:w="75" w:type="dxa"/>
              <w:right w:w="75" w:type="dxa"/>
            </w:tcMar>
          </w:tcPr>
          <w:p w14:paraId="3431EC4E"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Data Controller</w:t>
            </w:r>
          </w:p>
        </w:tc>
        <w:tc>
          <w:tcPr>
            <w:tcW w:w="1597" w:type="dxa"/>
            <w:tcBorders>
              <w:top w:val="single" w:sz="6" w:space="0" w:color="000000" w:themeColor="text1"/>
              <w:left w:val="nil"/>
              <w:right w:val="nil"/>
            </w:tcBorders>
            <w:tcMar>
              <w:top w:w="75" w:type="dxa"/>
              <w:left w:w="75" w:type="dxa"/>
              <w:bottom w:w="75" w:type="dxa"/>
              <w:right w:w="75" w:type="dxa"/>
            </w:tcMar>
          </w:tcPr>
          <w:p w14:paraId="7A433936" w14:textId="77777777" w:rsidR="000E0465" w:rsidRPr="00A018BC" w:rsidRDefault="000E0465" w:rsidP="00A018BC">
            <w:pPr>
              <w:pBdr>
                <w:top w:val="nil"/>
                <w:left w:val="nil"/>
                <w:bottom w:val="nil"/>
                <w:right w:val="nil"/>
                <w:between w:val="nil"/>
              </w:pBdr>
              <w:rPr>
                <w:rFonts w:cs="Arial"/>
                <w:color w:val="000000"/>
                <w:sz w:val="20"/>
                <w:szCs w:val="20"/>
              </w:rPr>
            </w:pPr>
            <w:proofErr w:type="spellStart"/>
            <w:r w:rsidRPr="00A018BC">
              <w:rPr>
                <w:rFonts w:eastAsia="Times New Roman" w:cs="Arial"/>
                <w:color w:val="000000"/>
                <w:sz w:val="20"/>
                <w:szCs w:val="20"/>
              </w:rPr>
              <w:t>Organisation</w:t>
            </w:r>
            <w:proofErr w:type="spellEnd"/>
          </w:p>
        </w:tc>
        <w:tc>
          <w:tcPr>
            <w:tcW w:w="1928" w:type="dxa"/>
            <w:tcBorders>
              <w:top w:val="single" w:sz="6" w:space="0" w:color="000000" w:themeColor="text1"/>
              <w:left w:val="nil"/>
            </w:tcBorders>
            <w:tcMar>
              <w:top w:w="75" w:type="dxa"/>
              <w:left w:w="75" w:type="dxa"/>
              <w:bottom w:w="75" w:type="dxa"/>
              <w:right w:w="75" w:type="dxa"/>
            </w:tcMar>
          </w:tcPr>
          <w:p w14:paraId="7FF6B464"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Person in Charge of the Protection of Personal Information</w:t>
            </w:r>
          </w:p>
        </w:tc>
      </w:tr>
      <w:tr w:rsidR="000E0465" w:rsidRPr="00A018BC" w14:paraId="422D36AB" w14:textId="77777777" w:rsidTr="00A018BC">
        <w:trPr>
          <w:cantSplit/>
        </w:trPr>
        <w:tc>
          <w:tcPr>
            <w:tcW w:w="1475" w:type="dxa"/>
            <w:tcBorders>
              <w:top w:val="single" w:sz="6" w:space="0" w:color="000000" w:themeColor="text1"/>
              <w:right w:val="nil"/>
            </w:tcBorders>
            <w:tcMar>
              <w:top w:w="75" w:type="dxa"/>
              <w:left w:w="75" w:type="dxa"/>
              <w:bottom w:w="75" w:type="dxa"/>
              <w:right w:w="75" w:type="dxa"/>
            </w:tcMar>
          </w:tcPr>
          <w:p w14:paraId="00D86F5A"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 xml:space="preserve">Joint (or </w:t>
            </w:r>
            <w:r w:rsidRPr="00A018BC">
              <w:rPr>
                <w:rFonts w:cs="Arial"/>
                <w:sz w:val="20"/>
                <w:szCs w:val="20"/>
              </w:rPr>
              <w:t xml:space="preserve">Co-) </w:t>
            </w:r>
            <w:r w:rsidRPr="00A018BC">
              <w:rPr>
                <w:rFonts w:eastAsia="Times New Roman" w:cs="Arial"/>
                <w:color w:val="000000"/>
                <w:sz w:val="20"/>
                <w:szCs w:val="20"/>
              </w:rPr>
              <w:t>Controller</w:t>
            </w:r>
          </w:p>
        </w:tc>
        <w:tc>
          <w:tcPr>
            <w:tcW w:w="1500" w:type="dxa"/>
            <w:tcBorders>
              <w:top w:val="single" w:sz="6" w:space="0" w:color="000000" w:themeColor="text1"/>
              <w:left w:val="nil"/>
              <w:right w:val="nil"/>
            </w:tcBorders>
            <w:tcMar>
              <w:top w:w="75" w:type="dxa"/>
              <w:left w:w="75" w:type="dxa"/>
              <w:bottom w:w="75" w:type="dxa"/>
              <w:right w:w="75" w:type="dxa"/>
            </w:tcMar>
          </w:tcPr>
          <w:p w14:paraId="0A34735D"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Joint PII Controller</w:t>
            </w:r>
          </w:p>
        </w:tc>
        <w:tc>
          <w:tcPr>
            <w:tcW w:w="1477" w:type="dxa"/>
            <w:tcBorders>
              <w:top w:val="single" w:sz="6" w:space="0" w:color="000000" w:themeColor="text1"/>
              <w:left w:val="nil"/>
              <w:right w:val="nil"/>
            </w:tcBorders>
            <w:tcMar>
              <w:top w:w="75" w:type="dxa"/>
              <w:left w:w="75" w:type="dxa"/>
              <w:bottom w:w="75" w:type="dxa"/>
              <w:right w:w="75" w:type="dxa"/>
            </w:tcMar>
          </w:tcPr>
          <w:p w14:paraId="193A7BF3"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Joint Data Controller</w:t>
            </w:r>
          </w:p>
        </w:tc>
        <w:tc>
          <w:tcPr>
            <w:tcW w:w="1366" w:type="dxa"/>
            <w:tcBorders>
              <w:top w:val="single" w:sz="6" w:space="0" w:color="000000" w:themeColor="text1"/>
              <w:left w:val="nil"/>
              <w:right w:val="nil"/>
            </w:tcBorders>
            <w:tcMar>
              <w:top w:w="75" w:type="dxa"/>
              <w:left w:w="75" w:type="dxa"/>
              <w:bottom w:w="75" w:type="dxa"/>
              <w:right w:w="75" w:type="dxa"/>
            </w:tcMar>
          </w:tcPr>
          <w:p w14:paraId="73B1CAFD"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Joint-Controller</w:t>
            </w:r>
          </w:p>
        </w:tc>
        <w:tc>
          <w:tcPr>
            <w:tcW w:w="1597" w:type="dxa"/>
            <w:tcBorders>
              <w:top w:val="single" w:sz="6" w:space="0" w:color="000000" w:themeColor="text1"/>
              <w:left w:val="nil"/>
              <w:right w:val="nil"/>
            </w:tcBorders>
            <w:tcMar>
              <w:top w:w="75" w:type="dxa"/>
              <w:left w:w="75" w:type="dxa"/>
              <w:bottom w:w="75" w:type="dxa"/>
              <w:right w:w="75" w:type="dxa"/>
            </w:tcMar>
          </w:tcPr>
          <w:p w14:paraId="06C54CD4" w14:textId="77777777" w:rsidR="000E0465" w:rsidRPr="00A018BC" w:rsidRDefault="000E0465" w:rsidP="00A018BC">
            <w:pPr>
              <w:pBdr>
                <w:top w:val="nil"/>
                <w:left w:val="nil"/>
                <w:bottom w:val="nil"/>
                <w:right w:val="nil"/>
                <w:between w:val="nil"/>
              </w:pBdr>
              <w:rPr>
                <w:rFonts w:cs="Arial"/>
                <w:color w:val="000000"/>
                <w:sz w:val="20"/>
                <w:szCs w:val="20"/>
              </w:rPr>
            </w:pPr>
            <w:proofErr w:type="spellStart"/>
            <w:r w:rsidRPr="00A018BC">
              <w:rPr>
                <w:rFonts w:eastAsia="Times New Roman" w:cs="Arial"/>
                <w:color w:val="000000"/>
                <w:sz w:val="20"/>
                <w:szCs w:val="20"/>
              </w:rPr>
              <w:t>Organisations</w:t>
            </w:r>
            <w:proofErr w:type="spellEnd"/>
          </w:p>
        </w:tc>
        <w:tc>
          <w:tcPr>
            <w:tcW w:w="1928" w:type="dxa"/>
            <w:tcBorders>
              <w:top w:val="single" w:sz="6" w:space="0" w:color="000000" w:themeColor="text1"/>
              <w:left w:val="nil"/>
            </w:tcBorders>
            <w:tcMar>
              <w:top w:w="75" w:type="dxa"/>
              <w:left w:w="75" w:type="dxa"/>
              <w:bottom w:w="75" w:type="dxa"/>
              <w:right w:w="75" w:type="dxa"/>
            </w:tcMar>
          </w:tcPr>
          <w:p w14:paraId="5A2114F1"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Person in Charge of the Protection of Personal Information</w:t>
            </w:r>
          </w:p>
        </w:tc>
      </w:tr>
      <w:tr w:rsidR="000E0465" w:rsidRPr="00A018BC" w14:paraId="7A1E5A73" w14:textId="77777777" w:rsidTr="00A018BC">
        <w:trPr>
          <w:cantSplit/>
        </w:trPr>
        <w:tc>
          <w:tcPr>
            <w:tcW w:w="1475" w:type="dxa"/>
            <w:tcBorders>
              <w:top w:val="single" w:sz="6" w:space="0" w:color="000000" w:themeColor="text1"/>
              <w:right w:val="nil"/>
            </w:tcBorders>
            <w:tcMar>
              <w:top w:w="75" w:type="dxa"/>
              <w:left w:w="75" w:type="dxa"/>
              <w:bottom w:w="75" w:type="dxa"/>
              <w:right w:w="75" w:type="dxa"/>
            </w:tcMar>
          </w:tcPr>
          <w:p w14:paraId="5B972525"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Processor</w:t>
            </w:r>
          </w:p>
        </w:tc>
        <w:tc>
          <w:tcPr>
            <w:tcW w:w="1500" w:type="dxa"/>
            <w:tcBorders>
              <w:top w:val="single" w:sz="6" w:space="0" w:color="000000" w:themeColor="text1"/>
              <w:left w:val="nil"/>
              <w:right w:val="nil"/>
            </w:tcBorders>
            <w:tcMar>
              <w:top w:w="75" w:type="dxa"/>
              <w:left w:w="75" w:type="dxa"/>
              <w:bottom w:w="75" w:type="dxa"/>
              <w:right w:w="75" w:type="dxa"/>
            </w:tcMar>
          </w:tcPr>
          <w:p w14:paraId="5078F347"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PII Processor</w:t>
            </w:r>
          </w:p>
        </w:tc>
        <w:tc>
          <w:tcPr>
            <w:tcW w:w="1477" w:type="dxa"/>
            <w:tcBorders>
              <w:top w:val="single" w:sz="6" w:space="0" w:color="000000" w:themeColor="text1"/>
              <w:left w:val="nil"/>
              <w:right w:val="nil"/>
            </w:tcBorders>
            <w:tcMar>
              <w:top w:w="75" w:type="dxa"/>
              <w:left w:w="75" w:type="dxa"/>
              <w:bottom w:w="75" w:type="dxa"/>
              <w:right w:w="75" w:type="dxa"/>
            </w:tcMar>
          </w:tcPr>
          <w:p w14:paraId="4B19C7C7"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Processor</w:t>
            </w:r>
          </w:p>
        </w:tc>
        <w:tc>
          <w:tcPr>
            <w:tcW w:w="1366" w:type="dxa"/>
            <w:tcBorders>
              <w:top w:val="single" w:sz="6" w:space="0" w:color="000000" w:themeColor="text1"/>
              <w:left w:val="nil"/>
              <w:right w:val="nil"/>
            </w:tcBorders>
            <w:tcMar>
              <w:top w:w="75" w:type="dxa"/>
              <w:left w:w="75" w:type="dxa"/>
              <w:bottom w:w="75" w:type="dxa"/>
              <w:right w:w="75" w:type="dxa"/>
            </w:tcMar>
          </w:tcPr>
          <w:p w14:paraId="37120718"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Data Processor</w:t>
            </w:r>
          </w:p>
        </w:tc>
        <w:tc>
          <w:tcPr>
            <w:tcW w:w="1597" w:type="dxa"/>
            <w:tcBorders>
              <w:top w:val="single" w:sz="6" w:space="0" w:color="000000" w:themeColor="text1"/>
              <w:left w:val="nil"/>
              <w:right w:val="nil"/>
            </w:tcBorders>
            <w:tcMar>
              <w:top w:w="75" w:type="dxa"/>
              <w:left w:w="75" w:type="dxa"/>
              <w:bottom w:w="75" w:type="dxa"/>
              <w:right w:w="75" w:type="dxa"/>
            </w:tcMar>
          </w:tcPr>
          <w:p w14:paraId="49A6E97A"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3</w:t>
            </w:r>
            <w:r w:rsidRPr="00A018BC">
              <w:rPr>
                <w:rFonts w:eastAsia="Times New Roman" w:cs="Arial"/>
                <w:color w:val="000000"/>
                <w:sz w:val="20"/>
                <w:szCs w:val="20"/>
                <w:vertAlign w:val="superscript"/>
              </w:rPr>
              <w:t>rd</w:t>
            </w:r>
            <w:r w:rsidRPr="00A018BC">
              <w:rPr>
                <w:rFonts w:eastAsia="Times New Roman" w:cs="Arial"/>
                <w:color w:val="000000"/>
                <w:sz w:val="20"/>
                <w:szCs w:val="20"/>
              </w:rPr>
              <w:t xml:space="preserve"> Party</w:t>
            </w:r>
          </w:p>
        </w:tc>
        <w:tc>
          <w:tcPr>
            <w:tcW w:w="1928" w:type="dxa"/>
            <w:tcBorders>
              <w:top w:val="single" w:sz="6" w:space="0" w:color="000000" w:themeColor="text1"/>
              <w:left w:val="nil"/>
            </w:tcBorders>
            <w:tcMar>
              <w:top w:w="75" w:type="dxa"/>
              <w:left w:w="75" w:type="dxa"/>
              <w:bottom w:w="75" w:type="dxa"/>
              <w:right w:w="75" w:type="dxa"/>
            </w:tcMar>
          </w:tcPr>
          <w:p w14:paraId="2357CB48" w14:textId="77777777" w:rsidR="000E0465" w:rsidRPr="00A018BC" w:rsidRDefault="000E0465" w:rsidP="00A018BC">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Service Provider (</w:t>
            </w:r>
            <w:proofErr w:type="spellStart"/>
            <w:r w:rsidRPr="00A018BC">
              <w:rPr>
                <w:rFonts w:eastAsia="Times New Roman" w:cs="Arial"/>
                <w:color w:val="000000"/>
                <w:sz w:val="20"/>
                <w:szCs w:val="20"/>
              </w:rPr>
              <w:t>prestataire</w:t>
            </w:r>
            <w:proofErr w:type="spellEnd"/>
            <w:r w:rsidRPr="00A018BC">
              <w:rPr>
                <w:rFonts w:eastAsia="Times New Roman" w:cs="Arial"/>
                <w:color w:val="000000"/>
                <w:sz w:val="20"/>
                <w:szCs w:val="20"/>
              </w:rPr>
              <w:t xml:space="preserve"> de services)</w:t>
            </w:r>
          </w:p>
        </w:tc>
      </w:tr>
    </w:tbl>
    <w:p w14:paraId="7DDCD2E3" w14:textId="6968FE7A" w:rsidR="000E0465" w:rsidRPr="005975FF" w:rsidRDefault="005975FF" w:rsidP="009D437D">
      <w:pPr>
        <w:rPr>
          <w:i/>
          <w:iCs/>
          <w:sz w:val="18"/>
          <w:szCs w:val="18"/>
        </w:rPr>
      </w:pPr>
      <w:r>
        <w:tab/>
      </w:r>
      <w:r>
        <w:tab/>
      </w:r>
      <w:r>
        <w:tab/>
      </w:r>
      <w:r>
        <w:tab/>
      </w:r>
      <w:r>
        <w:tab/>
      </w:r>
      <w:r>
        <w:tab/>
      </w:r>
      <w:r>
        <w:tab/>
      </w:r>
      <w:r>
        <w:tab/>
      </w:r>
      <w:r>
        <w:tab/>
      </w:r>
      <w:r w:rsidRPr="005975FF">
        <w:rPr>
          <w:i/>
          <w:iCs/>
          <w:sz w:val="18"/>
          <w:szCs w:val="18"/>
        </w:rPr>
        <w:t>(table B.1 continued on next page)</w:t>
      </w:r>
    </w:p>
    <w:p w14:paraId="486A0325" w14:textId="77777777" w:rsidR="00EB5D7C" w:rsidRDefault="00EB5D7C" w:rsidP="009D437D">
      <w:pPr>
        <w:rPr>
          <w:i/>
          <w:iCs/>
          <w:color w:val="2C3E50"/>
          <w:sz w:val="18"/>
          <w:szCs w:val="18"/>
        </w:rPr>
      </w:pPr>
    </w:p>
    <w:p w14:paraId="6CD5AACF" w14:textId="65B0BDB0" w:rsidR="005975FF" w:rsidRPr="005975FF" w:rsidRDefault="005975FF" w:rsidP="009D437D">
      <w:pPr>
        <w:rPr>
          <w:i/>
          <w:iCs/>
          <w:color w:val="2C3E50"/>
          <w:sz w:val="18"/>
          <w:szCs w:val="18"/>
        </w:rPr>
      </w:pPr>
      <w:r w:rsidRPr="005975FF">
        <w:rPr>
          <w:i/>
          <w:iCs/>
          <w:color w:val="2C3E50"/>
          <w:sz w:val="18"/>
          <w:szCs w:val="18"/>
        </w:rPr>
        <w:lastRenderedPageBreak/>
        <w:t>Table B.1 Role Mapping cont.</w:t>
      </w:r>
    </w:p>
    <w:tbl>
      <w:tblPr>
        <w:tblW w:w="9343" w:type="dxa"/>
        <w:tblBorders>
          <w:bottom w:val="single" w:sz="6"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475"/>
        <w:gridCol w:w="1500"/>
        <w:gridCol w:w="1477"/>
        <w:gridCol w:w="1366"/>
        <w:gridCol w:w="1597"/>
        <w:gridCol w:w="1928"/>
      </w:tblGrid>
      <w:tr w:rsidR="005975FF" w:rsidRPr="00A018BC" w14:paraId="5E03B9CA" w14:textId="77777777" w:rsidTr="00075967">
        <w:trPr>
          <w:cantSplit/>
        </w:trPr>
        <w:tc>
          <w:tcPr>
            <w:tcW w:w="1475" w:type="dxa"/>
            <w:tcBorders>
              <w:top w:val="single" w:sz="6" w:space="0" w:color="000000" w:themeColor="text1"/>
              <w:right w:val="nil"/>
            </w:tcBorders>
            <w:tcMar>
              <w:top w:w="75" w:type="dxa"/>
              <w:left w:w="75" w:type="dxa"/>
              <w:bottom w:w="75" w:type="dxa"/>
              <w:right w:w="75" w:type="dxa"/>
            </w:tcMar>
          </w:tcPr>
          <w:p w14:paraId="7E4B603F" w14:textId="77777777" w:rsidR="005975FF" w:rsidRPr="00A018BC" w:rsidRDefault="005975FF" w:rsidP="00075967">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Stakeholder</w:t>
            </w:r>
          </w:p>
        </w:tc>
        <w:tc>
          <w:tcPr>
            <w:tcW w:w="1500" w:type="dxa"/>
            <w:tcBorders>
              <w:top w:val="single" w:sz="6" w:space="0" w:color="000000" w:themeColor="text1"/>
              <w:left w:val="nil"/>
              <w:right w:val="nil"/>
            </w:tcBorders>
            <w:tcMar>
              <w:top w:w="75" w:type="dxa"/>
              <w:left w:w="75" w:type="dxa"/>
              <w:bottom w:w="75" w:type="dxa"/>
              <w:right w:w="75" w:type="dxa"/>
            </w:tcMar>
          </w:tcPr>
          <w:p w14:paraId="2CB851B1" w14:textId="77777777" w:rsidR="005975FF" w:rsidRPr="00A018BC" w:rsidRDefault="005975FF" w:rsidP="00075967">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ISO/IEC 29100</w:t>
            </w:r>
          </w:p>
        </w:tc>
        <w:tc>
          <w:tcPr>
            <w:tcW w:w="1477" w:type="dxa"/>
            <w:tcBorders>
              <w:top w:val="single" w:sz="6" w:space="0" w:color="000000" w:themeColor="text1"/>
              <w:left w:val="nil"/>
              <w:right w:val="nil"/>
            </w:tcBorders>
            <w:tcMar>
              <w:top w:w="75" w:type="dxa"/>
              <w:left w:w="75" w:type="dxa"/>
              <w:bottom w:w="75" w:type="dxa"/>
              <w:right w:w="75" w:type="dxa"/>
            </w:tcMar>
          </w:tcPr>
          <w:p w14:paraId="3622B012" w14:textId="77777777" w:rsidR="005975FF" w:rsidRPr="00A018BC" w:rsidRDefault="005975FF" w:rsidP="00075967">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Conv 108+</w:t>
            </w:r>
          </w:p>
        </w:tc>
        <w:tc>
          <w:tcPr>
            <w:tcW w:w="1366" w:type="dxa"/>
            <w:tcBorders>
              <w:top w:val="single" w:sz="6" w:space="0" w:color="000000" w:themeColor="text1"/>
              <w:left w:val="nil"/>
              <w:right w:val="nil"/>
            </w:tcBorders>
            <w:tcMar>
              <w:top w:w="75" w:type="dxa"/>
              <w:left w:w="75" w:type="dxa"/>
              <w:bottom w:w="75" w:type="dxa"/>
              <w:right w:w="75" w:type="dxa"/>
            </w:tcMar>
          </w:tcPr>
          <w:p w14:paraId="6BC961ED" w14:textId="77777777" w:rsidR="005975FF" w:rsidRPr="00A018BC" w:rsidRDefault="005975FF" w:rsidP="00075967">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GDPR</w:t>
            </w:r>
          </w:p>
        </w:tc>
        <w:tc>
          <w:tcPr>
            <w:tcW w:w="1597" w:type="dxa"/>
            <w:tcBorders>
              <w:top w:val="single" w:sz="6" w:space="0" w:color="000000" w:themeColor="text1"/>
              <w:left w:val="nil"/>
              <w:right w:val="nil"/>
            </w:tcBorders>
            <w:tcMar>
              <w:top w:w="75" w:type="dxa"/>
              <w:left w:w="75" w:type="dxa"/>
              <w:bottom w:w="75" w:type="dxa"/>
              <w:right w:w="75" w:type="dxa"/>
            </w:tcMar>
          </w:tcPr>
          <w:p w14:paraId="27BEB490" w14:textId="77777777" w:rsidR="005975FF" w:rsidRPr="00A018BC" w:rsidRDefault="005975FF" w:rsidP="00075967">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PIPEDA</w:t>
            </w:r>
          </w:p>
        </w:tc>
        <w:tc>
          <w:tcPr>
            <w:tcW w:w="1928" w:type="dxa"/>
            <w:tcBorders>
              <w:top w:val="single" w:sz="6" w:space="0" w:color="000000" w:themeColor="text1"/>
              <w:left w:val="nil"/>
            </w:tcBorders>
            <w:tcMar>
              <w:top w:w="75" w:type="dxa"/>
              <w:left w:w="75" w:type="dxa"/>
              <w:bottom w:w="75" w:type="dxa"/>
              <w:right w:w="75" w:type="dxa"/>
            </w:tcMar>
          </w:tcPr>
          <w:p w14:paraId="5A21CEB4" w14:textId="77777777" w:rsidR="005975FF" w:rsidRPr="00A018BC" w:rsidRDefault="005975FF" w:rsidP="00075967">
            <w:pPr>
              <w:pBdr>
                <w:top w:val="nil"/>
                <w:left w:val="nil"/>
                <w:bottom w:val="nil"/>
                <w:right w:val="nil"/>
                <w:between w:val="nil"/>
              </w:pBdr>
              <w:rPr>
                <w:rFonts w:cs="Arial"/>
                <w:bCs/>
                <w:color w:val="000000"/>
                <w:sz w:val="20"/>
                <w:szCs w:val="20"/>
              </w:rPr>
            </w:pPr>
            <w:r w:rsidRPr="00A018BC">
              <w:rPr>
                <w:rFonts w:eastAsia="Times New Roman" w:cs="Arial"/>
                <w:bCs/>
                <w:color w:val="000000"/>
                <w:sz w:val="20"/>
                <w:szCs w:val="20"/>
              </w:rPr>
              <w:t>Quebec Law 25</w:t>
            </w:r>
            <w:r w:rsidRPr="00A018BC">
              <w:rPr>
                <w:rFonts w:eastAsia="Times New Roman" w:cs="Arial"/>
                <w:bCs/>
                <w:color w:val="0000FF"/>
                <w:sz w:val="20"/>
                <w:szCs w:val="20"/>
                <w:u w:val="single"/>
              </w:rPr>
              <w:t>[1]</w:t>
            </w:r>
          </w:p>
        </w:tc>
      </w:tr>
      <w:tr w:rsidR="005975FF" w:rsidRPr="00A018BC" w14:paraId="7AA1D8CC" w14:textId="77777777" w:rsidTr="00075967">
        <w:trPr>
          <w:cantSplit/>
        </w:trPr>
        <w:tc>
          <w:tcPr>
            <w:tcW w:w="1475" w:type="dxa"/>
            <w:tcBorders>
              <w:top w:val="single" w:sz="6" w:space="0" w:color="000000" w:themeColor="text1"/>
              <w:right w:val="nil"/>
            </w:tcBorders>
            <w:tcMar>
              <w:top w:w="75" w:type="dxa"/>
              <w:left w:w="75" w:type="dxa"/>
              <w:bottom w:w="75" w:type="dxa"/>
              <w:right w:w="75" w:type="dxa"/>
            </w:tcMar>
          </w:tcPr>
          <w:p w14:paraId="6C523100"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Sub-Processor</w:t>
            </w:r>
          </w:p>
        </w:tc>
        <w:tc>
          <w:tcPr>
            <w:tcW w:w="1500" w:type="dxa"/>
            <w:tcBorders>
              <w:top w:val="single" w:sz="6" w:space="0" w:color="000000" w:themeColor="text1"/>
              <w:left w:val="nil"/>
              <w:right w:val="nil"/>
            </w:tcBorders>
            <w:tcMar>
              <w:top w:w="75" w:type="dxa"/>
              <w:left w:w="75" w:type="dxa"/>
              <w:bottom w:w="75" w:type="dxa"/>
              <w:right w:w="75" w:type="dxa"/>
            </w:tcMar>
          </w:tcPr>
          <w:p w14:paraId="282EC290"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Sub-Processor</w:t>
            </w:r>
          </w:p>
        </w:tc>
        <w:tc>
          <w:tcPr>
            <w:tcW w:w="1477" w:type="dxa"/>
            <w:tcBorders>
              <w:top w:val="single" w:sz="6" w:space="0" w:color="000000" w:themeColor="text1"/>
              <w:left w:val="nil"/>
              <w:right w:val="nil"/>
            </w:tcBorders>
            <w:tcMar>
              <w:top w:w="75" w:type="dxa"/>
              <w:left w:w="75" w:type="dxa"/>
              <w:bottom w:w="75" w:type="dxa"/>
              <w:right w:w="75" w:type="dxa"/>
            </w:tcMar>
          </w:tcPr>
          <w:p w14:paraId="24EAE801"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Sub-Contractor</w:t>
            </w:r>
          </w:p>
        </w:tc>
        <w:tc>
          <w:tcPr>
            <w:tcW w:w="1366" w:type="dxa"/>
            <w:tcBorders>
              <w:top w:val="single" w:sz="6" w:space="0" w:color="000000" w:themeColor="text1"/>
              <w:left w:val="nil"/>
              <w:right w:val="nil"/>
            </w:tcBorders>
            <w:tcMar>
              <w:top w:w="75" w:type="dxa"/>
              <w:left w:w="75" w:type="dxa"/>
              <w:bottom w:w="75" w:type="dxa"/>
              <w:right w:w="75" w:type="dxa"/>
            </w:tcMar>
          </w:tcPr>
          <w:p w14:paraId="62D33219"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Sub-Processor</w:t>
            </w:r>
          </w:p>
        </w:tc>
        <w:tc>
          <w:tcPr>
            <w:tcW w:w="1597" w:type="dxa"/>
            <w:tcBorders>
              <w:top w:val="single" w:sz="6" w:space="0" w:color="000000" w:themeColor="text1"/>
              <w:left w:val="nil"/>
              <w:right w:val="nil"/>
            </w:tcBorders>
            <w:tcMar>
              <w:top w:w="75" w:type="dxa"/>
              <w:left w:w="75" w:type="dxa"/>
              <w:bottom w:w="75" w:type="dxa"/>
              <w:right w:w="75" w:type="dxa"/>
            </w:tcMar>
          </w:tcPr>
          <w:p w14:paraId="5B35CAB6"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themeColor="text1"/>
                <w:sz w:val="20"/>
                <w:szCs w:val="20"/>
              </w:rPr>
              <w:t>3</w:t>
            </w:r>
            <w:r w:rsidRPr="00A018BC">
              <w:rPr>
                <w:rFonts w:eastAsia="Times New Roman" w:cs="Arial"/>
                <w:color w:val="000000" w:themeColor="text1"/>
                <w:sz w:val="20"/>
                <w:szCs w:val="20"/>
                <w:vertAlign w:val="superscript"/>
              </w:rPr>
              <w:t>rd</w:t>
            </w:r>
            <w:r w:rsidRPr="00A018BC">
              <w:rPr>
                <w:rFonts w:eastAsia="Times New Roman" w:cs="Arial"/>
                <w:color w:val="000000" w:themeColor="text1"/>
                <w:sz w:val="20"/>
                <w:szCs w:val="20"/>
              </w:rPr>
              <w:t xml:space="preserve"> Party / Service Provider</w:t>
            </w:r>
          </w:p>
        </w:tc>
        <w:tc>
          <w:tcPr>
            <w:tcW w:w="1928" w:type="dxa"/>
            <w:tcBorders>
              <w:top w:val="single" w:sz="6" w:space="0" w:color="000000" w:themeColor="text1"/>
              <w:left w:val="nil"/>
            </w:tcBorders>
            <w:tcMar>
              <w:top w:w="75" w:type="dxa"/>
              <w:left w:w="75" w:type="dxa"/>
              <w:bottom w:w="75" w:type="dxa"/>
              <w:right w:w="75" w:type="dxa"/>
            </w:tcMar>
          </w:tcPr>
          <w:p w14:paraId="39AE9BF5"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Service Provider (</w:t>
            </w:r>
            <w:proofErr w:type="spellStart"/>
            <w:r w:rsidRPr="00A018BC">
              <w:rPr>
                <w:rFonts w:eastAsia="Times New Roman" w:cs="Arial"/>
                <w:color w:val="000000"/>
                <w:sz w:val="20"/>
                <w:szCs w:val="20"/>
              </w:rPr>
              <w:t>prestataire</w:t>
            </w:r>
            <w:proofErr w:type="spellEnd"/>
            <w:r w:rsidRPr="00A018BC">
              <w:rPr>
                <w:rFonts w:eastAsia="Times New Roman" w:cs="Arial"/>
                <w:color w:val="000000"/>
                <w:sz w:val="20"/>
                <w:szCs w:val="20"/>
              </w:rPr>
              <w:t xml:space="preserve"> de services)</w:t>
            </w:r>
          </w:p>
        </w:tc>
      </w:tr>
      <w:tr w:rsidR="005975FF" w:rsidRPr="00A018BC" w14:paraId="5189B35A" w14:textId="77777777" w:rsidTr="00075967">
        <w:trPr>
          <w:cantSplit/>
        </w:trPr>
        <w:tc>
          <w:tcPr>
            <w:tcW w:w="1475" w:type="dxa"/>
            <w:tcBorders>
              <w:top w:val="single" w:sz="6" w:space="0" w:color="000000" w:themeColor="text1"/>
              <w:right w:val="nil"/>
            </w:tcBorders>
            <w:tcMar>
              <w:top w:w="75" w:type="dxa"/>
              <w:left w:w="75" w:type="dxa"/>
              <w:bottom w:w="75" w:type="dxa"/>
              <w:right w:w="75" w:type="dxa"/>
            </w:tcMar>
          </w:tcPr>
          <w:p w14:paraId="2E06FF4C"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3</w:t>
            </w:r>
            <w:r w:rsidRPr="00A018BC">
              <w:rPr>
                <w:rFonts w:eastAsia="Times New Roman" w:cs="Arial"/>
                <w:color w:val="000000"/>
                <w:sz w:val="20"/>
                <w:szCs w:val="20"/>
                <w:vertAlign w:val="superscript"/>
              </w:rPr>
              <w:t>rd</w:t>
            </w:r>
            <w:r w:rsidRPr="00A018BC">
              <w:rPr>
                <w:rFonts w:eastAsia="Times New Roman" w:cs="Arial"/>
                <w:color w:val="000000"/>
                <w:sz w:val="20"/>
                <w:szCs w:val="20"/>
              </w:rPr>
              <w:t xml:space="preserve"> Party</w:t>
            </w:r>
          </w:p>
        </w:tc>
        <w:tc>
          <w:tcPr>
            <w:tcW w:w="1500" w:type="dxa"/>
            <w:tcBorders>
              <w:top w:val="single" w:sz="6" w:space="0" w:color="000000" w:themeColor="text1"/>
              <w:left w:val="nil"/>
              <w:right w:val="nil"/>
            </w:tcBorders>
            <w:tcMar>
              <w:top w:w="75" w:type="dxa"/>
              <w:left w:w="75" w:type="dxa"/>
              <w:bottom w:w="75" w:type="dxa"/>
              <w:right w:w="75" w:type="dxa"/>
            </w:tcMar>
          </w:tcPr>
          <w:p w14:paraId="5D7CE3BE"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Any entity or individual other than the Data Subject, Controller or Processor</w:t>
            </w:r>
          </w:p>
        </w:tc>
        <w:tc>
          <w:tcPr>
            <w:tcW w:w="1477" w:type="dxa"/>
            <w:tcBorders>
              <w:top w:val="single" w:sz="6" w:space="0" w:color="000000" w:themeColor="text1"/>
              <w:left w:val="nil"/>
              <w:right w:val="nil"/>
            </w:tcBorders>
            <w:tcMar>
              <w:top w:w="75" w:type="dxa"/>
              <w:left w:w="75" w:type="dxa"/>
              <w:bottom w:w="75" w:type="dxa"/>
              <w:right w:w="75" w:type="dxa"/>
            </w:tcMar>
          </w:tcPr>
          <w:p w14:paraId="1B39E7C3"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Any entity or individual other than the Data Subject, Controller or Processor</w:t>
            </w:r>
          </w:p>
        </w:tc>
        <w:tc>
          <w:tcPr>
            <w:tcW w:w="1366" w:type="dxa"/>
            <w:tcBorders>
              <w:top w:val="single" w:sz="6" w:space="0" w:color="000000" w:themeColor="text1"/>
              <w:left w:val="nil"/>
              <w:right w:val="nil"/>
            </w:tcBorders>
            <w:tcMar>
              <w:top w:w="75" w:type="dxa"/>
              <w:left w:w="75" w:type="dxa"/>
              <w:bottom w:w="75" w:type="dxa"/>
              <w:right w:w="75" w:type="dxa"/>
            </w:tcMar>
          </w:tcPr>
          <w:p w14:paraId="177CE15C"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Any entity or individual other than the Data Subject, Controller or Processor</w:t>
            </w:r>
          </w:p>
        </w:tc>
        <w:tc>
          <w:tcPr>
            <w:tcW w:w="1597" w:type="dxa"/>
            <w:tcBorders>
              <w:top w:val="single" w:sz="6" w:space="0" w:color="000000" w:themeColor="text1"/>
              <w:left w:val="nil"/>
              <w:right w:val="nil"/>
            </w:tcBorders>
            <w:tcMar>
              <w:top w:w="75" w:type="dxa"/>
              <w:left w:w="75" w:type="dxa"/>
              <w:bottom w:w="75" w:type="dxa"/>
              <w:right w:w="75" w:type="dxa"/>
            </w:tcMar>
          </w:tcPr>
          <w:p w14:paraId="2CDE3EC5" w14:textId="77777777" w:rsidR="005975FF" w:rsidRPr="00A018BC" w:rsidRDefault="005975FF" w:rsidP="00075967">
            <w:pPr>
              <w:pBdr>
                <w:top w:val="nil"/>
                <w:left w:val="nil"/>
                <w:bottom w:val="nil"/>
                <w:right w:val="nil"/>
                <w:between w:val="nil"/>
              </w:pBdr>
              <w:rPr>
                <w:rFonts w:cs="Arial"/>
                <w:color w:val="000000"/>
                <w:sz w:val="20"/>
                <w:szCs w:val="20"/>
              </w:rPr>
            </w:pPr>
            <w:r w:rsidRPr="00A018BC">
              <w:rPr>
                <w:rFonts w:eastAsia="Times New Roman" w:cs="Arial"/>
                <w:color w:val="000000"/>
                <w:sz w:val="20"/>
                <w:szCs w:val="20"/>
              </w:rPr>
              <w:t>3</w:t>
            </w:r>
            <w:r w:rsidRPr="00A018BC">
              <w:rPr>
                <w:rFonts w:eastAsia="Times New Roman" w:cs="Arial"/>
                <w:color w:val="000000"/>
                <w:sz w:val="20"/>
                <w:szCs w:val="20"/>
                <w:vertAlign w:val="superscript"/>
              </w:rPr>
              <w:t>rd</w:t>
            </w:r>
            <w:r w:rsidRPr="00A018BC">
              <w:rPr>
                <w:rFonts w:eastAsia="Times New Roman" w:cs="Arial"/>
                <w:color w:val="000000"/>
                <w:sz w:val="20"/>
                <w:szCs w:val="20"/>
              </w:rPr>
              <w:t xml:space="preserve"> Party</w:t>
            </w:r>
          </w:p>
        </w:tc>
        <w:tc>
          <w:tcPr>
            <w:tcW w:w="1928" w:type="dxa"/>
            <w:tcBorders>
              <w:top w:val="single" w:sz="6" w:space="0" w:color="000000" w:themeColor="text1"/>
              <w:left w:val="nil"/>
            </w:tcBorders>
            <w:tcMar>
              <w:top w:w="75" w:type="dxa"/>
              <w:left w:w="75" w:type="dxa"/>
              <w:bottom w:w="75" w:type="dxa"/>
              <w:right w:w="75" w:type="dxa"/>
            </w:tcMar>
          </w:tcPr>
          <w:p w14:paraId="651AD5D2" w14:textId="77777777" w:rsidR="005975FF" w:rsidRPr="00A018BC" w:rsidRDefault="005975FF" w:rsidP="00075967">
            <w:pPr>
              <w:keepNext/>
              <w:pBdr>
                <w:top w:val="nil"/>
                <w:left w:val="nil"/>
                <w:bottom w:val="nil"/>
                <w:right w:val="nil"/>
                <w:between w:val="nil"/>
              </w:pBdr>
              <w:rPr>
                <w:rFonts w:cs="Arial"/>
                <w:color w:val="000000"/>
                <w:sz w:val="20"/>
                <w:szCs w:val="20"/>
              </w:rPr>
            </w:pPr>
            <w:r w:rsidRPr="00A018BC">
              <w:rPr>
                <w:rFonts w:eastAsia="Times New Roman" w:cs="Arial"/>
                <w:color w:val="000000"/>
                <w:sz w:val="20"/>
                <w:szCs w:val="20"/>
              </w:rPr>
              <w:t xml:space="preserve">Any individual or </w:t>
            </w:r>
            <w:proofErr w:type="spellStart"/>
            <w:r w:rsidRPr="00A018BC">
              <w:rPr>
                <w:rFonts w:eastAsia="Times New Roman" w:cs="Arial"/>
                <w:color w:val="000000"/>
                <w:sz w:val="20"/>
                <w:szCs w:val="20"/>
              </w:rPr>
              <w:t>organisation</w:t>
            </w:r>
            <w:proofErr w:type="spellEnd"/>
            <w:r w:rsidRPr="00A018BC">
              <w:rPr>
                <w:rFonts w:eastAsia="Times New Roman" w:cs="Arial"/>
                <w:color w:val="000000"/>
                <w:sz w:val="20"/>
                <w:szCs w:val="20"/>
              </w:rPr>
              <w:t xml:space="preserve"> other than the person concerned or the organi</w:t>
            </w:r>
            <w:r>
              <w:rPr>
                <w:rFonts w:eastAsia="Times New Roman" w:cs="Arial"/>
                <w:color w:val="000000"/>
                <w:sz w:val="20"/>
                <w:szCs w:val="20"/>
              </w:rPr>
              <w:t>z</w:t>
            </w:r>
            <w:r w:rsidRPr="00A018BC">
              <w:rPr>
                <w:rFonts w:eastAsia="Times New Roman" w:cs="Arial"/>
                <w:color w:val="000000"/>
                <w:sz w:val="20"/>
                <w:szCs w:val="20"/>
              </w:rPr>
              <w:t>ation in charge of data protection</w:t>
            </w:r>
          </w:p>
        </w:tc>
      </w:tr>
    </w:tbl>
    <w:p w14:paraId="78016198" w14:textId="77777777" w:rsidR="005975FF" w:rsidRDefault="005975FF" w:rsidP="009D437D"/>
    <w:p w14:paraId="7C4989B6" w14:textId="3F524D8B" w:rsidR="000E0465" w:rsidRPr="00A018BC" w:rsidRDefault="009D437D" w:rsidP="009D437D">
      <w:pPr>
        <w:pStyle w:val="NOTEParagraph"/>
      </w:pPr>
      <w:r>
        <w:t xml:space="preserve">Note: </w:t>
      </w:r>
      <w:r w:rsidR="000E0465" w:rsidRPr="00A018BC">
        <w:t xml:space="preserve">Quebec, Bill 64 - </w:t>
      </w:r>
      <w:r w:rsidR="000E0465" w:rsidRPr="00A018BC">
        <w:rPr>
          <w:color w:val="0000FF"/>
          <w:u w:val="single"/>
        </w:rPr>
        <w:t>[1]</w:t>
      </w:r>
      <w:r w:rsidR="000E0465" w:rsidRPr="00A018BC">
        <w:t xml:space="preserve"> An Act to modernize legislative provisions as regards the protection of personal information, SQ 2021, c 25,</w:t>
      </w:r>
      <w:r w:rsidR="00CA1AAD">
        <w:t xml:space="preserve"> has </w:t>
      </w:r>
      <w:r w:rsidR="000E0465" w:rsidRPr="00A018BC">
        <w:t>compliance roles, mapped to be interoperable within data privacy framework</w:t>
      </w:r>
      <w:r w:rsidR="00CA1AAD">
        <w:t>s.</w:t>
      </w:r>
    </w:p>
    <w:p w14:paraId="2C34FFDB" w14:textId="732E7A2D" w:rsidR="000E0465" w:rsidRPr="00A018BC" w:rsidRDefault="009D437D" w:rsidP="009D437D">
      <w:pPr>
        <w:pStyle w:val="NOTEParagraph"/>
      </w:pPr>
      <w:r>
        <w:t xml:space="preserve">Note: </w:t>
      </w:r>
      <w:r w:rsidR="000E0465" w:rsidRPr="00A018BC">
        <w:t>Roles in this document refer to a record of relationship between the Individual and any digital service, as documented by the Controller identi</w:t>
      </w:r>
      <w:r w:rsidR="001F27DA">
        <w:t>fication notice record</w:t>
      </w:r>
      <w:r w:rsidR="000E0465" w:rsidRPr="00A018BC">
        <w:t xml:space="preserve"> </w:t>
      </w:r>
      <w:r w:rsidR="001F27DA">
        <w:t xml:space="preserve">and </w:t>
      </w:r>
      <w:r w:rsidR="000E0465" w:rsidRPr="00A018BC">
        <w:t xml:space="preserve">schema for TPI assessment. </w:t>
      </w:r>
      <w:r w:rsidR="001F27DA">
        <w:t xml:space="preserve">(see </w:t>
      </w:r>
      <w:hyperlink r:id="rId26" w:history="1">
        <w:r w:rsidR="001F27DA" w:rsidRPr="001F27DA">
          <w:rPr>
            <w:rStyle w:val="Hyperlink"/>
          </w:rPr>
          <w:t>ANCR Wiki</w:t>
        </w:r>
      </w:hyperlink>
      <w:r w:rsidR="001F27DA">
        <w:t>)</w:t>
      </w:r>
    </w:p>
    <w:p w14:paraId="79197483" w14:textId="3F3B06B7" w:rsidR="00EF7595" w:rsidRDefault="00EF7595">
      <w:r>
        <w:br w:type="page"/>
      </w:r>
    </w:p>
    <w:bookmarkStart w:id="45" w:name="_Toc193376366"/>
    <w:p w14:paraId="2D3CCA55" w14:textId="765799E6" w:rsidR="00CD0E29" w:rsidRPr="00CD0E29" w:rsidRDefault="00CD0E29" w:rsidP="00CD0E29">
      <w:pPr>
        <w:pStyle w:val="Heading1"/>
      </w:pPr>
      <w:r>
        <w:rPr>
          <w:noProof/>
        </w:rPr>
        <w:lastRenderedPageBreak/>
        <mc:AlternateContent>
          <mc:Choice Requires="wps">
            <w:drawing>
              <wp:anchor distT="0" distB="0" distL="114300" distR="114300" simplePos="0" relativeHeight="251681792" behindDoc="0" locked="0" layoutInCell="1" allowOverlap="1" wp14:anchorId="4F66B6B8" wp14:editId="57E1792E">
                <wp:simplePos x="0" y="0"/>
                <wp:positionH relativeFrom="column">
                  <wp:posOffset>-40460</wp:posOffset>
                </wp:positionH>
                <wp:positionV relativeFrom="paragraph">
                  <wp:posOffset>284480</wp:posOffset>
                </wp:positionV>
                <wp:extent cx="5943600" cy="0"/>
                <wp:effectExtent l="0" t="0" r="12700" b="12700"/>
                <wp:wrapNone/>
                <wp:docPr id="162014720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08C79"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2.4pt" to="464.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" strokecolor="black [3213]" strokeweight=".5pt">
                <v:stroke joinstyle="miter"/>
              </v:line>
            </w:pict>
          </mc:Fallback>
        </mc:AlternateContent>
      </w:r>
      <w:r>
        <w:t>10</w:t>
      </w:r>
      <w:r w:rsidRPr="00CD0E29">
        <w:t>. ISO/IEC 29100 Terminology Bibliography</w:t>
      </w:r>
      <w:bookmarkEnd w:id="45"/>
      <w:r w:rsidRPr="00CD0E29">
        <w:t xml:space="preserve"> </w:t>
      </w:r>
    </w:p>
    <w:p w14:paraId="7EF6A93E" w14:textId="77777777" w:rsidR="00CD0E29" w:rsidRDefault="00CD0E29" w:rsidP="002653FC">
      <w:pPr>
        <w:spacing w:line="276" w:lineRule="auto"/>
      </w:pPr>
      <w:r>
        <w:t>[1] ISO Guide 733, Risk management — Vocabulary</w:t>
      </w:r>
    </w:p>
    <w:p w14:paraId="57C7BCFD" w14:textId="77777777" w:rsidR="00CD0E29" w:rsidRDefault="00CD0E29" w:rsidP="002653FC">
      <w:pPr>
        <w:spacing w:line="276" w:lineRule="auto"/>
      </w:pPr>
      <w:r>
        <w:t>[2] ISO 31000, Risk management — Guidelines</w:t>
      </w:r>
    </w:p>
    <w:p w14:paraId="24AA0D5A" w14:textId="77777777" w:rsidR="00CD0E29" w:rsidRDefault="00CD0E29" w:rsidP="002653FC">
      <w:pPr>
        <w:spacing w:line="276" w:lineRule="auto"/>
      </w:pPr>
      <w:r>
        <w:rPr>
          <w:color w:val="141413"/>
        </w:rPr>
        <w:t xml:space="preserve">[3] SC 27 committee document 502 — Privacy References List, available at: </w:t>
      </w:r>
      <w:r>
        <w:rPr>
          <w:color w:val="031AF2"/>
        </w:rPr>
        <w:t>https://committee.iso .org/</w:t>
      </w:r>
      <w:r>
        <w:t>home/jtc1sc27</w:t>
      </w:r>
    </w:p>
    <w:p w14:paraId="2ACF0E90" w14:textId="77777777" w:rsidR="00CD0E29" w:rsidRDefault="00CD0E29" w:rsidP="002653FC">
      <w:pPr>
        <w:spacing w:line="276" w:lineRule="auto"/>
      </w:pPr>
      <w:r>
        <w:t>[4] ISO/IEC 27000:2018, Information technology — Security techniques — Information security</w:t>
      </w:r>
    </w:p>
    <w:p w14:paraId="646E6E1F" w14:textId="77777777" w:rsidR="00CD0E29" w:rsidRDefault="00CD0E29" w:rsidP="002653FC">
      <w:pPr>
        <w:spacing w:line="276" w:lineRule="auto"/>
      </w:pPr>
      <w:r>
        <w:t>management systems — Overview and vocabulary</w:t>
      </w:r>
    </w:p>
    <w:p w14:paraId="7B8383DC" w14:textId="77777777" w:rsidR="00CD0E29" w:rsidRDefault="00CD0E29" w:rsidP="002653FC">
      <w:pPr>
        <w:spacing w:line="276" w:lineRule="auto"/>
      </w:pPr>
      <w:r>
        <w:t>[5] ISO/IEC 27001, Information security, cybersecurity and privacy protection — Information security management systems — Requirements</w:t>
      </w:r>
    </w:p>
    <w:p w14:paraId="7F667EA3" w14:textId="77777777" w:rsidR="00CD0E29" w:rsidRDefault="00CD0E29" w:rsidP="002653FC">
      <w:pPr>
        <w:spacing w:line="276" w:lineRule="auto"/>
      </w:pPr>
      <w:r>
        <w:t>[6] ISO/IEC 27002, Information security, cybersecurity and privacy protection — Information security controls</w:t>
      </w:r>
    </w:p>
    <w:p w14:paraId="1A152CD3" w14:textId="77777777" w:rsidR="00CD0E29" w:rsidRDefault="00CD0E29" w:rsidP="002653FC">
      <w:pPr>
        <w:spacing w:line="276" w:lineRule="auto"/>
      </w:pPr>
      <w:r>
        <w:t>[7] ISO/IEC 27003, Information technology — Security techniques — Information security management systems — Guidance</w:t>
      </w:r>
    </w:p>
    <w:p w14:paraId="39656D00" w14:textId="77777777" w:rsidR="00CD0E29" w:rsidRDefault="00CD0E29" w:rsidP="002653FC">
      <w:pPr>
        <w:spacing w:line="276" w:lineRule="auto"/>
      </w:pPr>
      <w:r>
        <w:t>[8] ISO/IEC 27004, Information technology — Security techniques — Information security management — Monitoring, measurement, analysis and evaluation</w:t>
      </w:r>
    </w:p>
    <w:p w14:paraId="03136462" w14:textId="77777777" w:rsidR="00CD0E29" w:rsidRDefault="00CD0E29" w:rsidP="002653FC">
      <w:pPr>
        <w:spacing w:line="276" w:lineRule="auto"/>
      </w:pPr>
      <w:r>
        <w:t>[9] ISO/IEC 27005, Information security, cybersecurity and privacy protection — Guidance on managing information security risks</w:t>
      </w:r>
    </w:p>
    <w:p w14:paraId="19FEACBD" w14:textId="77777777" w:rsidR="00CD0E29" w:rsidRDefault="00CD0E29" w:rsidP="002653FC">
      <w:pPr>
        <w:spacing w:line="276" w:lineRule="auto"/>
      </w:pPr>
      <w:r>
        <w:t>[10] ISO/IEC 27006, Information technology — Security techniques — Requirements for bodies providing audit and certification of information security management systems</w:t>
      </w:r>
    </w:p>
    <w:p w14:paraId="5A359DC9" w14:textId="77777777" w:rsidR="00CD0E29" w:rsidRDefault="00CD0E29" w:rsidP="002653FC">
      <w:pPr>
        <w:spacing w:line="276" w:lineRule="auto"/>
      </w:pPr>
      <w:r>
        <w:t>[11] ISO/IEC 27007, Information security, cybersecurity and privacy protection — Guidelines for information security management systems auditing</w:t>
      </w:r>
    </w:p>
    <w:p w14:paraId="55F311AB" w14:textId="77777777" w:rsidR="00CD0E29" w:rsidRDefault="00CD0E29" w:rsidP="002653FC">
      <w:pPr>
        <w:spacing w:line="276" w:lineRule="auto"/>
      </w:pPr>
      <w:r>
        <w:t>[12] ISO/IEC TS 27008, Information technology — Security techniques — Guidelines for the assessment of information security controls</w:t>
      </w:r>
    </w:p>
    <w:p w14:paraId="68F9AB4E" w14:textId="77777777" w:rsidR="00CD0E29" w:rsidRDefault="00CD0E29" w:rsidP="002653FC">
      <w:pPr>
        <w:spacing w:line="276" w:lineRule="auto"/>
      </w:pPr>
      <w:r>
        <w:t>[13] ISO/IEC 270094), Information technology — Security techniques — Sector-specific application of ISO/IEC 27001 — Requirements</w:t>
      </w:r>
    </w:p>
    <w:p w14:paraId="4D2DB58A" w14:textId="77777777" w:rsidR="00CD0E29" w:rsidRDefault="00CD0E29" w:rsidP="002653FC">
      <w:pPr>
        <w:spacing w:line="276" w:lineRule="auto"/>
      </w:pPr>
      <w:r>
        <w:t>[14] ISO/IEC 27010, Information technology — Security techniques — Information security management for inter-sector and inter-organizational communications</w:t>
      </w:r>
    </w:p>
    <w:p w14:paraId="6D9A3FAE" w14:textId="77777777" w:rsidR="00CD0E29" w:rsidRDefault="00CD0E29" w:rsidP="002653FC">
      <w:pPr>
        <w:spacing w:line="276" w:lineRule="auto"/>
      </w:pPr>
      <w:r>
        <w:t>[15] ISO/IEC 27011, Information technology — Security techniques — Code of practice for information security controls based on ISO/IEC 27002 for telecommunications organizations</w:t>
      </w:r>
    </w:p>
    <w:p w14:paraId="5189DA2A" w14:textId="77777777" w:rsidR="00CD0E29" w:rsidRDefault="00CD0E29" w:rsidP="002653FC">
      <w:pPr>
        <w:spacing w:line="276" w:lineRule="auto"/>
      </w:pPr>
      <w:r>
        <w:t>[16] ISO/IEC 27013, Information security, cybersecurity, and privacy protection — Guidance on the integrated implementation of ISO/IEC 27001 and ISO/IEC 20000-1</w:t>
      </w:r>
    </w:p>
    <w:p w14:paraId="308362F0" w14:textId="77777777" w:rsidR="00CD0E29" w:rsidRDefault="00CD0E29" w:rsidP="002653FC">
      <w:pPr>
        <w:spacing w:line="276" w:lineRule="auto"/>
      </w:pPr>
      <w:r>
        <w:t>[17] ISO/IEC 27014, Information security, cybersecurity, and privacy protection — Governance of information security</w:t>
      </w:r>
    </w:p>
    <w:p w14:paraId="3B775752" w14:textId="77777777" w:rsidR="00CD0E29" w:rsidRDefault="00CD0E29" w:rsidP="002653FC">
      <w:pPr>
        <w:spacing w:line="276" w:lineRule="auto"/>
      </w:pPr>
      <w:r>
        <w:t>[18] ISO/IEC TR 27016, Information technology — Security techniques — Information security management — Organizational economics</w:t>
      </w:r>
    </w:p>
    <w:p w14:paraId="6C5DBF3A" w14:textId="77777777" w:rsidR="00CD0E29" w:rsidRDefault="00CD0E29" w:rsidP="002653FC">
      <w:pPr>
        <w:spacing w:line="276" w:lineRule="auto"/>
      </w:pPr>
      <w:r>
        <w:t>[19] ISO/IEC 27017, Information technology — Security techniques</w:t>
      </w:r>
    </w:p>
    <w:p w14:paraId="4B91F1C0" w14:textId="50293497" w:rsidR="004D159B" w:rsidRPr="00EB5D7C" w:rsidRDefault="00CD0E29" w:rsidP="002653FC">
      <w:pPr>
        <w:spacing w:line="276" w:lineRule="auto"/>
        <w:rPr>
          <w:rFonts w:cs="Arial"/>
          <w:color w:val="000000" w:themeColor="text1"/>
        </w:rPr>
      </w:pPr>
      <w:r>
        <w:t xml:space="preserve">[20] </w:t>
      </w:r>
      <w:hyperlink r:id="rId27">
        <w:r>
          <w:rPr>
            <w:color w:val="1155CC"/>
            <w:u w:val="single"/>
          </w:rPr>
          <w:t>ISO/IEC 29100:2024</w:t>
        </w:r>
      </w:hyperlink>
      <w:r>
        <w:t xml:space="preserve"> Information technology – Security techniques - Privacy Framework</w:t>
      </w:r>
    </w:p>
    <w:sectPr w:rsidR="004D159B" w:rsidRPr="00EB5D7C" w:rsidSect="00FA79FE">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B587D" w14:textId="77777777" w:rsidR="00BA06B0" w:rsidRDefault="00BA06B0" w:rsidP="00D31509">
      <w:r>
        <w:separator/>
      </w:r>
    </w:p>
  </w:endnote>
  <w:endnote w:type="continuationSeparator" w:id="0">
    <w:p w14:paraId="1436BDEA" w14:textId="77777777" w:rsidR="00BA06B0" w:rsidRDefault="00BA06B0" w:rsidP="00D3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0115845"/>
      <w:docPartObj>
        <w:docPartGallery w:val="Page Numbers (Bottom of Page)"/>
        <w:docPartUnique/>
      </w:docPartObj>
    </w:sdtPr>
    <w:sdtContent>
      <w:p w14:paraId="0EE51680" w14:textId="77777777" w:rsidR="004D159B" w:rsidRDefault="004D159B" w:rsidP="00BC56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CD9C3" w14:textId="77777777" w:rsidR="00D31509" w:rsidRDefault="00D31509" w:rsidP="004D15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DA53D" w14:textId="77777777" w:rsidR="00ED4337" w:rsidRDefault="00ED4337" w:rsidP="004D159B">
    <w:pPr>
      <w:pStyle w:val="Footer"/>
      <w:ind w:right="360"/>
      <w:rPr>
        <w:rFonts w:cs="Arial"/>
        <w:b/>
        <w:bCs/>
        <w:sz w:val="18"/>
        <w:szCs w:val="18"/>
      </w:rPr>
    </w:pPr>
    <w:r w:rsidRPr="004D159B">
      <w:rPr>
        <w:rFonts w:cs="Arial"/>
        <w:b/>
        <w:bCs/>
        <w:noProof/>
        <w:sz w:val="18"/>
        <w:szCs w:val="18"/>
      </w:rPr>
      <mc:AlternateContent>
        <mc:Choice Requires="wps">
          <w:drawing>
            <wp:anchor distT="0" distB="0" distL="114300" distR="114300" simplePos="0" relativeHeight="251661312" behindDoc="0" locked="0" layoutInCell="1" allowOverlap="1" wp14:anchorId="71BAB7E2" wp14:editId="232D42AD">
              <wp:simplePos x="0" y="0"/>
              <wp:positionH relativeFrom="column">
                <wp:posOffset>1016</wp:posOffset>
              </wp:positionH>
              <wp:positionV relativeFrom="paragraph">
                <wp:posOffset>65532</wp:posOffset>
              </wp:positionV>
              <wp:extent cx="5943600" cy="0"/>
              <wp:effectExtent l="0" t="0" r="12700" b="12700"/>
              <wp:wrapNone/>
              <wp:docPr id="1923164508"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EA8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E1A99A8">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7ea8ad" strokeweight=".5pt" from=".1pt,5.15pt" to="468.1pt,5.15pt" w14:anchorId="65CD7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">
              <v:stroke joinstyle="miter"/>
            </v:line>
          </w:pict>
        </mc:Fallback>
      </mc:AlternateContent>
    </w:r>
  </w:p>
  <w:p w14:paraId="4288EAA7" w14:textId="08B7D049" w:rsidR="00ED4337" w:rsidRDefault="00ED4337" w:rsidP="004D159B">
    <w:pPr>
      <w:pStyle w:val="Footer"/>
      <w:ind w:right="360"/>
      <w:rPr>
        <w:rFonts w:cs="Arial"/>
        <w:b/>
        <w:bCs/>
        <w:sz w:val="18"/>
        <w:szCs w:val="18"/>
      </w:rPr>
    </w:pPr>
    <w:r w:rsidRPr="00B17EC4">
      <w:rPr>
        <w:rFonts w:cs="Arial"/>
        <w:b/>
        <w:bCs/>
        <w:sz w:val="18"/>
        <w:szCs w:val="18"/>
      </w:rPr>
      <w:t xml:space="preserve">Document Version: </w:t>
    </w:r>
    <w:r w:rsidR="000326DB">
      <w:rPr>
        <w:rFonts w:cs="Arial"/>
        <w:b/>
        <w:bCs/>
        <w:sz w:val="18"/>
        <w:szCs w:val="18"/>
      </w:rPr>
      <w:t>1.0</w:t>
    </w:r>
    <w:r w:rsidR="00B17EC4" w:rsidRPr="00B17EC4">
      <w:rPr>
        <w:rFonts w:cs="Arial"/>
        <w:b/>
        <w:bCs/>
        <w:sz w:val="18"/>
        <w:szCs w:val="18"/>
      </w:rPr>
      <w:t xml:space="preserve"> </w:t>
    </w:r>
    <w:r w:rsidR="00D31509" w:rsidRPr="00B17EC4">
      <w:rPr>
        <w:rFonts w:cs="Arial"/>
        <w:b/>
        <w:bCs/>
        <w:sz w:val="18"/>
        <w:szCs w:val="18"/>
      </w:rPr>
      <w:ptab w:relativeTo="margin" w:alignment="center" w:leader="none"/>
    </w:r>
    <w:r w:rsidRPr="00B17EC4">
      <w:rPr>
        <w:rFonts w:cs="Arial"/>
        <w:b/>
        <w:bCs/>
        <w:sz w:val="18"/>
        <w:szCs w:val="18"/>
      </w:rPr>
      <w:tab/>
      <w:t xml:space="preserve">Document Date:  </w:t>
    </w:r>
    <w:r w:rsidR="00B17EC4" w:rsidRPr="00B17EC4">
      <w:rPr>
        <w:rFonts w:cs="Arial"/>
        <w:b/>
        <w:bCs/>
        <w:sz w:val="18"/>
        <w:szCs w:val="18"/>
      </w:rPr>
      <w:t>2025-02-12</w:t>
    </w:r>
  </w:p>
  <w:sdt>
    <w:sdtPr>
      <w:rPr>
        <w:rStyle w:val="PageNumber"/>
      </w:rPr>
      <w:id w:val="-810788997"/>
      <w:docPartObj>
        <w:docPartGallery w:val="Page Numbers (Bottom of Page)"/>
        <w:docPartUnique/>
      </w:docPartObj>
    </w:sdtPr>
    <w:sdtContent>
      <w:p w14:paraId="00D73638" w14:textId="42EC8325" w:rsidR="00ED4337" w:rsidRPr="00B17EC4" w:rsidRDefault="00ED4337" w:rsidP="00ED4337">
        <w:pPr>
          <w:pStyle w:val="Footer"/>
          <w:framePr w:wrap="none" w:vAnchor="text" w:hAnchor="page" w:x="1401" w:yAlign="top"/>
          <w:rPr>
            <w:rStyle w:val="PageNumber"/>
          </w:rPr>
        </w:pPr>
      </w:p>
      <w:p w14:paraId="5B47BAD7" w14:textId="77777777" w:rsidR="00ED4337" w:rsidRPr="00B17EC4" w:rsidRDefault="00ED4337" w:rsidP="00ED4337">
        <w:pPr>
          <w:pStyle w:val="Footer"/>
          <w:framePr w:wrap="none" w:vAnchor="text" w:hAnchor="page" w:x="1401" w:yAlign="top"/>
          <w:rPr>
            <w:rStyle w:val="PageNumber"/>
          </w:rPr>
        </w:pPr>
        <w:r w:rsidRPr="00B17EC4">
          <w:rPr>
            <w:rStyle w:val="PageNumber"/>
          </w:rPr>
          <w:tab/>
        </w:r>
        <w:r w:rsidRPr="00B17EC4">
          <w:rPr>
            <w:rStyle w:val="PageNumber"/>
          </w:rPr>
          <w:tab/>
        </w:r>
        <w:r w:rsidRPr="00E06711">
          <w:rPr>
            <w:rStyle w:val="PageNumber"/>
            <w:sz w:val="18"/>
            <w:szCs w:val="18"/>
          </w:rPr>
          <w:fldChar w:fldCharType="begin"/>
        </w:r>
        <w:r w:rsidRPr="00E06711">
          <w:rPr>
            <w:rStyle w:val="PageNumber"/>
            <w:sz w:val="18"/>
            <w:szCs w:val="18"/>
          </w:rPr>
          <w:instrText xml:space="preserve"> PAGE </w:instrText>
        </w:r>
        <w:r w:rsidRPr="00E06711">
          <w:rPr>
            <w:rStyle w:val="PageNumber"/>
            <w:sz w:val="18"/>
            <w:szCs w:val="18"/>
          </w:rPr>
          <w:fldChar w:fldCharType="separate"/>
        </w:r>
        <w:r w:rsidRPr="00E06711">
          <w:rPr>
            <w:rStyle w:val="PageNumber"/>
            <w:sz w:val="18"/>
            <w:szCs w:val="18"/>
          </w:rPr>
          <w:t>2</w:t>
        </w:r>
        <w:r w:rsidRPr="00E06711">
          <w:rPr>
            <w:rStyle w:val="PageNumber"/>
            <w:sz w:val="18"/>
            <w:szCs w:val="18"/>
          </w:rPr>
          <w:fldChar w:fldCharType="end"/>
        </w:r>
      </w:p>
    </w:sdtContent>
  </w:sdt>
  <w:p w14:paraId="69D7A24C" w14:textId="77777777" w:rsidR="00ED4337" w:rsidRPr="00B17EC4" w:rsidRDefault="00ED4337" w:rsidP="00ED4337">
    <w:pPr>
      <w:pStyle w:val="Footer"/>
      <w:ind w:right="360"/>
      <w:rPr>
        <w:rFonts w:cs="Arial"/>
        <w:b/>
        <w:bCs/>
        <w:sz w:val="18"/>
        <w:szCs w:val="18"/>
      </w:rPr>
    </w:pPr>
  </w:p>
  <w:p w14:paraId="107A1AE6" w14:textId="43663798" w:rsidR="00ED4337" w:rsidRDefault="00ED4337" w:rsidP="00ED4337">
    <w:pPr>
      <w:pStyle w:val="Footer"/>
      <w:ind w:right="360"/>
      <w:rPr>
        <w:rFonts w:cs="Arial"/>
        <w:b/>
        <w:bCs/>
        <w:sz w:val="18"/>
        <w:szCs w:val="18"/>
      </w:rPr>
    </w:pPr>
    <w:r w:rsidRPr="00B17EC4">
      <w:rPr>
        <w:rFonts w:cs="Arial"/>
        <w:b/>
        <w:bCs/>
        <w:sz w:val="18"/>
        <w:szCs w:val="18"/>
      </w:rPr>
      <w:tab/>
      <w:t>Kantara Initiative</w:t>
    </w:r>
    <w:r w:rsidR="00922216">
      <w:rPr>
        <w:rFonts w:cs="Arial"/>
        <w:b/>
        <w:bCs/>
        <w:sz w:val="18"/>
        <w:szCs w:val="18"/>
      </w:rPr>
      <w:t xml:space="preserve"> Draft </w:t>
    </w:r>
    <w:r w:rsidRPr="00B17EC4">
      <w:rPr>
        <w:rFonts w:cs="Arial"/>
        <w:b/>
        <w:bCs/>
        <w:sz w:val="18"/>
        <w:szCs w:val="18"/>
      </w:rPr>
      <w:t>Rec</w:t>
    </w:r>
    <w:r w:rsidR="00B17EC4" w:rsidRPr="00B17EC4">
      <w:rPr>
        <w:rFonts w:cs="Arial"/>
        <w:b/>
        <w:bCs/>
        <w:sz w:val="18"/>
        <w:szCs w:val="18"/>
      </w:rPr>
      <w:t>ommendation</w:t>
    </w:r>
    <w:r w:rsidRPr="004D159B">
      <w:rPr>
        <w:rFonts w:cs="Arial"/>
        <w:b/>
        <w:bCs/>
        <w:sz w:val="18"/>
        <w:szCs w:val="18"/>
      </w:rPr>
      <w:t xml:space="preserve"> © 2025 Kantara Initiative, Inc.</w:t>
    </w:r>
  </w:p>
  <w:p w14:paraId="7774E422" w14:textId="57BAB718" w:rsidR="00ED4337" w:rsidRDefault="00ED4337" w:rsidP="00ED4337">
    <w:pPr>
      <w:pStyle w:val="Footer"/>
      <w:rPr>
        <w:rFonts w:cs="Arial"/>
        <w:b/>
        <w:bCs/>
        <w:sz w:val="18"/>
        <w:szCs w:val="18"/>
      </w:rPr>
    </w:pPr>
    <w:r>
      <w:rPr>
        <w:rFonts w:cs="Arial"/>
        <w:b/>
        <w:bCs/>
        <w:sz w:val="18"/>
        <w:szCs w:val="18"/>
      </w:rPr>
      <w:tab/>
    </w:r>
    <w:hyperlink r:id="rId1" w:history="1">
      <w:r w:rsidRPr="004D159B">
        <w:rPr>
          <w:rStyle w:val="Hyperlink"/>
          <w:rFonts w:cs="Arial"/>
          <w:b/>
          <w:bCs/>
          <w:sz w:val="18"/>
          <w:szCs w:val="18"/>
        </w:rPr>
        <w:t>www.kantarainitiative.org</w:t>
      </w:r>
    </w:hyperlink>
  </w:p>
  <w:p w14:paraId="5A60F22C" w14:textId="0E47DA1F" w:rsidR="00D31509" w:rsidRDefault="00ED4337" w:rsidP="00ED4337">
    <w:pPr>
      <w:pStyle w:val="Footer"/>
    </w:pPr>
    <w:r>
      <w:rPr>
        <w:rFonts w:cs="Arial"/>
        <w:b/>
        <w:bCs/>
        <w:sz w:val="18"/>
        <w:szCs w:val="18"/>
      </w:rPr>
      <w:tab/>
      <w:t>IPR OPTION</w:t>
    </w:r>
    <w:r w:rsidR="00B17EC4">
      <w:rPr>
        <w:rFonts w:cs="Arial"/>
        <w:b/>
        <w:bCs/>
        <w:sz w:val="18"/>
        <w:szCs w:val="18"/>
      </w:rPr>
      <w:t xml:space="preserve"> </w:t>
    </w:r>
    <w:r w:rsidR="00B17EC4" w:rsidRPr="00B17EC4">
      <w:rPr>
        <w:rFonts w:cs="Arial"/>
        <w:b/>
        <w:bCs/>
        <w:sz w:val="18"/>
        <w:szCs w:val="18"/>
      </w:rPr>
      <w:t>–</w:t>
    </w:r>
    <w:r>
      <w:rPr>
        <w:rFonts w:cs="Arial"/>
        <w:b/>
        <w:bCs/>
        <w:sz w:val="18"/>
        <w:szCs w:val="18"/>
      </w:rPr>
      <w:t xml:space="preserve"> </w:t>
    </w:r>
    <w:hyperlink r:id="rId2" w:history="1">
      <w:r w:rsidR="00B17EC4" w:rsidRPr="00B17EC4">
        <w:rPr>
          <w:rStyle w:val="Hyperlink"/>
          <w:rFonts w:cs="Arial"/>
          <w:b/>
          <w:bCs/>
          <w:sz w:val="18"/>
          <w:szCs w:val="18"/>
        </w:rPr>
        <w:t>RAND</w:t>
      </w:r>
    </w:hyperlink>
    <w:r w:rsidR="004D159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2880060"/>
      <w:docPartObj>
        <w:docPartGallery w:val="Page Numbers (Bottom of Page)"/>
        <w:docPartUnique/>
      </w:docPartObj>
    </w:sdtPr>
    <w:sdtContent>
      <w:p w14:paraId="434BB665" w14:textId="77777777" w:rsidR="00833B2A" w:rsidRPr="00B17EC4" w:rsidRDefault="00833B2A" w:rsidP="00833B2A">
        <w:pPr>
          <w:pStyle w:val="Footer"/>
          <w:framePr w:wrap="none" w:vAnchor="text" w:hAnchor="page" w:x="1401" w:yAlign="top"/>
          <w:rPr>
            <w:rStyle w:val="PageNumber"/>
          </w:rPr>
        </w:pPr>
      </w:p>
      <w:p w14:paraId="4AA11776" w14:textId="0B017816" w:rsidR="00833B2A" w:rsidRPr="00B17EC4" w:rsidRDefault="00833B2A" w:rsidP="00833B2A">
        <w:pPr>
          <w:pStyle w:val="Footer"/>
          <w:framePr w:wrap="none" w:vAnchor="text" w:hAnchor="page" w:x="1401" w:yAlign="top"/>
          <w:rPr>
            <w:rStyle w:val="PageNumber"/>
          </w:rPr>
        </w:pPr>
      </w:p>
      <w:p w14:paraId="210DE163" w14:textId="77777777" w:rsidR="00833B2A" w:rsidRPr="00B17EC4" w:rsidRDefault="00833B2A" w:rsidP="00833B2A">
        <w:pPr>
          <w:pStyle w:val="Footer"/>
          <w:framePr w:wrap="none" w:vAnchor="text" w:hAnchor="page" w:x="1401" w:yAlign="top"/>
          <w:rPr>
            <w:rStyle w:val="PageNumber"/>
          </w:rPr>
        </w:pPr>
        <w:r w:rsidRPr="00B17EC4">
          <w:rPr>
            <w:rStyle w:val="PageNumber"/>
          </w:rPr>
          <w:tab/>
        </w:r>
        <w:r w:rsidRPr="00B17EC4">
          <w:rPr>
            <w:rStyle w:val="PageNumber"/>
          </w:rPr>
          <w:tab/>
        </w:r>
        <w:r w:rsidRPr="00CF4FFA">
          <w:rPr>
            <w:rStyle w:val="PageNumber"/>
            <w:sz w:val="18"/>
            <w:szCs w:val="18"/>
          </w:rPr>
          <w:fldChar w:fldCharType="begin"/>
        </w:r>
        <w:r w:rsidRPr="00CF4FFA">
          <w:rPr>
            <w:rStyle w:val="PageNumber"/>
            <w:sz w:val="18"/>
            <w:szCs w:val="18"/>
          </w:rPr>
          <w:instrText xml:space="preserve"> PAGE </w:instrText>
        </w:r>
        <w:r w:rsidRPr="00CF4FFA">
          <w:rPr>
            <w:rStyle w:val="PageNumber"/>
            <w:sz w:val="18"/>
            <w:szCs w:val="18"/>
          </w:rPr>
          <w:fldChar w:fldCharType="separate"/>
        </w:r>
        <w:r w:rsidRPr="00CF4FFA">
          <w:rPr>
            <w:rStyle w:val="PageNumber"/>
            <w:sz w:val="18"/>
            <w:szCs w:val="18"/>
          </w:rPr>
          <w:t>2</w:t>
        </w:r>
        <w:r w:rsidRPr="00CF4FFA">
          <w:rPr>
            <w:rStyle w:val="PageNumber"/>
            <w:sz w:val="18"/>
            <w:szCs w:val="18"/>
          </w:rPr>
          <w:fldChar w:fldCharType="end"/>
        </w:r>
      </w:p>
    </w:sdtContent>
  </w:sdt>
  <w:p w14:paraId="2C8C4C70" w14:textId="77777777" w:rsidR="00833B2A" w:rsidRPr="00B17EC4" w:rsidRDefault="00833B2A" w:rsidP="00833B2A">
    <w:pPr>
      <w:pStyle w:val="Footer"/>
      <w:ind w:right="360"/>
      <w:rPr>
        <w:rFonts w:cs="Arial"/>
        <w:b/>
        <w:bCs/>
        <w:sz w:val="18"/>
        <w:szCs w:val="18"/>
      </w:rPr>
    </w:pPr>
    <w:r w:rsidRPr="00B17EC4">
      <w:rPr>
        <w:rFonts w:cs="Arial"/>
        <w:b/>
        <w:bCs/>
        <w:noProof/>
        <w:sz w:val="18"/>
        <w:szCs w:val="18"/>
      </w:rPr>
      <mc:AlternateContent>
        <mc:Choice Requires="wps">
          <w:drawing>
            <wp:anchor distT="0" distB="0" distL="114300" distR="114300" simplePos="0" relativeHeight="251665408" behindDoc="0" locked="0" layoutInCell="1" allowOverlap="1" wp14:anchorId="5AF1B3B5" wp14:editId="05881F05">
              <wp:simplePos x="0" y="0"/>
              <wp:positionH relativeFrom="column">
                <wp:posOffset>-88900</wp:posOffset>
              </wp:positionH>
              <wp:positionV relativeFrom="paragraph">
                <wp:posOffset>9525</wp:posOffset>
              </wp:positionV>
              <wp:extent cx="5943600" cy="0"/>
              <wp:effectExtent l="0" t="0" r="12700" b="12700"/>
              <wp:wrapNone/>
              <wp:docPr id="1488069447"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EA8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8F41CC8">
            <v:line id="Straight Connector 5"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7ea8ad" strokeweight=".5pt" from="-7pt,.75pt" to="461pt,.75pt" w14:anchorId="6A779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">
              <v:stroke joinstyle="miter"/>
            </v:line>
          </w:pict>
        </mc:Fallback>
      </mc:AlternateContent>
    </w:r>
  </w:p>
  <w:p w14:paraId="1D5D2461" w14:textId="7216BA49" w:rsidR="00833B2A" w:rsidRDefault="00833B2A" w:rsidP="00833B2A">
    <w:pPr>
      <w:pStyle w:val="Footer"/>
      <w:ind w:right="360"/>
      <w:rPr>
        <w:rFonts w:cs="Arial"/>
        <w:b/>
        <w:bCs/>
        <w:sz w:val="18"/>
        <w:szCs w:val="18"/>
      </w:rPr>
    </w:pPr>
    <w:r w:rsidRPr="00B17EC4">
      <w:rPr>
        <w:rFonts w:cs="Arial"/>
        <w:b/>
        <w:bCs/>
        <w:sz w:val="18"/>
        <w:szCs w:val="18"/>
      </w:rPr>
      <w:tab/>
      <w:t>Kantara Initiative</w:t>
    </w:r>
    <w:r w:rsidR="00922216">
      <w:rPr>
        <w:rFonts w:cs="Arial"/>
        <w:b/>
        <w:bCs/>
        <w:sz w:val="18"/>
        <w:szCs w:val="18"/>
      </w:rPr>
      <w:t xml:space="preserve"> Draft </w:t>
    </w:r>
    <w:r w:rsidRPr="00B17EC4">
      <w:rPr>
        <w:rFonts w:cs="Arial"/>
        <w:b/>
        <w:bCs/>
        <w:sz w:val="18"/>
        <w:szCs w:val="18"/>
      </w:rPr>
      <w:t>Re</w:t>
    </w:r>
    <w:r w:rsidR="00B17EC4" w:rsidRPr="00B17EC4">
      <w:rPr>
        <w:rFonts w:cs="Arial"/>
        <w:b/>
        <w:bCs/>
        <w:sz w:val="18"/>
        <w:szCs w:val="18"/>
      </w:rPr>
      <w:t>commendation</w:t>
    </w:r>
    <w:r w:rsidRPr="004D159B">
      <w:rPr>
        <w:rFonts w:cs="Arial"/>
        <w:b/>
        <w:bCs/>
        <w:sz w:val="18"/>
        <w:szCs w:val="18"/>
      </w:rPr>
      <w:t xml:space="preserve"> © 2025 Kantara Initiative, Inc.</w:t>
    </w:r>
  </w:p>
  <w:p w14:paraId="19495FDA" w14:textId="77777777" w:rsidR="00833B2A" w:rsidRDefault="00833B2A" w:rsidP="00833B2A">
    <w:pPr>
      <w:pStyle w:val="Footer"/>
      <w:rPr>
        <w:rFonts w:cs="Arial"/>
        <w:b/>
        <w:bCs/>
        <w:sz w:val="18"/>
        <w:szCs w:val="18"/>
      </w:rPr>
    </w:pPr>
    <w:r>
      <w:rPr>
        <w:rFonts w:cs="Arial"/>
        <w:b/>
        <w:bCs/>
        <w:sz w:val="18"/>
        <w:szCs w:val="18"/>
      </w:rPr>
      <w:tab/>
    </w:r>
    <w:hyperlink r:id="rId1" w:history="1">
      <w:r w:rsidRPr="004D159B">
        <w:rPr>
          <w:rStyle w:val="Hyperlink"/>
          <w:rFonts w:cs="Arial"/>
          <w:b/>
          <w:bCs/>
          <w:sz w:val="18"/>
          <w:szCs w:val="18"/>
        </w:rPr>
        <w:t>www.kantarainitiative.org</w:t>
      </w:r>
    </w:hyperlink>
  </w:p>
  <w:p w14:paraId="20149579" w14:textId="5D4BCD5F" w:rsidR="00EF569D" w:rsidRDefault="00833B2A" w:rsidP="00CC7A76">
    <w:pPr>
      <w:pStyle w:val="Footer"/>
      <w:jc w:val="center"/>
    </w:pPr>
    <w:r>
      <w:rPr>
        <w:rFonts w:cs="Arial"/>
        <w:b/>
        <w:bCs/>
        <w:sz w:val="18"/>
        <w:szCs w:val="18"/>
      </w:rPr>
      <w:t>IPR OPTIO</w:t>
    </w:r>
    <w:r w:rsidRPr="00B17EC4">
      <w:rPr>
        <w:rFonts w:cs="Arial"/>
        <w:b/>
        <w:bCs/>
        <w:sz w:val="18"/>
        <w:szCs w:val="18"/>
      </w:rPr>
      <w:t xml:space="preserve">N – </w:t>
    </w:r>
    <w:hyperlink r:id="rId2" w:history="1">
      <w:r w:rsidR="00B17EC4" w:rsidRPr="00B17EC4">
        <w:rPr>
          <w:rStyle w:val="Hyperlink"/>
          <w:rFonts w:cs="Arial"/>
          <w:b/>
          <w:bCs/>
          <w:sz w:val="18"/>
          <w:szCs w:val="18"/>
        </w:rPr>
        <w:t>RAND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8192" w14:textId="77777777" w:rsidR="00BA06B0" w:rsidRDefault="00BA06B0" w:rsidP="00D31509">
      <w:r>
        <w:separator/>
      </w:r>
    </w:p>
  </w:footnote>
  <w:footnote w:type="continuationSeparator" w:id="0">
    <w:p w14:paraId="7207D02D" w14:textId="77777777" w:rsidR="00BA06B0" w:rsidRDefault="00BA06B0" w:rsidP="00D31509">
      <w:r>
        <w:continuationSeparator/>
      </w:r>
    </w:p>
  </w:footnote>
  <w:footnote w:id="1">
    <w:p w14:paraId="72F6CF48" w14:textId="47FE8A8D" w:rsidR="00EF7595" w:rsidRPr="001056EF" w:rsidRDefault="00EF7595" w:rsidP="00EF7595">
      <w:pPr>
        <w:rPr>
          <w:sz w:val="18"/>
          <w:szCs w:val="18"/>
        </w:rPr>
      </w:pPr>
      <w:r w:rsidRPr="001056EF">
        <w:rPr>
          <w:sz w:val="18"/>
          <w:szCs w:val="18"/>
          <w:vertAlign w:val="superscript"/>
        </w:rPr>
        <w:footnoteRef/>
      </w:r>
      <w:r w:rsidRPr="001056EF">
        <w:rPr>
          <w:sz w:val="18"/>
          <w:szCs w:val="18"/>
        </w:rPr>
        <w:t xml:space="preserve"> The term controller is used with multiple adjectives in this document. One source of this is different terminology for a category of actor (see Appendix A. Table 1). Further</w:t>
      </w:r>
      <w:r w:rsidR="001056EF">
        <w:rPr>
          <w:sz w:val="18"/>
          <w:szCs w:val="18"/>
        </w:rPr>
        <w:t>,</w:t>
      </w:r>
      <w:r w:rsidRPr="001056EF">
        <w:rPr>
          <w:sz w:val="18"/>
          <w:szCs w:val="18"/>
        </w:rPr>
        <w:t xml:space="preserve"> it is possible for the person to be subject, controller, and object granted. Another is the specific type of controller action taken. In the case of the PII Controller, here, the action measured is notice and so with it the specific role of the PII Controller as Notice Controller. </w:t>
      </w:r>
    </w:p>
  </w:footnote>
  <w:footnote w:id="2">
    <w:p w14:paraId="39D3407C" w14:textId="77777777" w:rsidR="000E0465" w:rsidRPr="0087111F" w:rsidRDefault="000E0465" w:rsidP="000E0465">
      <w:pPr>
        <w:rPr>
          <w:sz w:val="18"/>
          <w:szCs w:val="18"/>
        </w:rPr>
      </w:pPr>
      <w:r w:rsidRPr="0087111F">
        <w:rPr>
          <w:sz w:val="18"/>
          <w:szCs w:val="18"/>
          <w:vertAlign w:val="superscript"/>
        </w:rPr>
        <w:footnoteRef/>
      </w:r>
      <w:r w:rsidRPr="0087111F">
        <w:rPr>
          <w:sz w:val="18"/>
          <w:szCs w:val="18"/>
        </w:rPr>
        <w:t xml:space="preserve"> At no time is there a requirement for the identification or the creation of an identifier for the data subject/PII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6C32" w14:textId="767BC717" w:rsidR="00B17EC4" w:rsidRPr="00B17EC4" w:rsidRDefault="00B17EC4" w:rsidP="00B17EC4">
    <w:pPr>
      <w:rPr>
        <w:rFonts w:cs="Arial"/>
        <w:b/>
        <w:bCs/>
        <w:color w:val="7EA8AD"/>
        <w:sz w:val="32"/>
        <w:szCs w:val="32"/>
      </w:rPr>
    </w:pPr>
    <w:r w:rsidRPr="00B17EC4">
      <w:rPr>
        <w:rFonts w:cs="Arial"/>
        <w:b/>
        <w:bCs/>
        <w:color w:val="7EA8AD"/>
        <w:sz w:val="32"/>
        <w:szCs w:val="32"/>
      </w:rPr>
      <w:t xml:space="preserve">Transparency Performance Reporting </w:t>
    </w:r>
  </w:p>
  <w:p w14:paraId="26D56968" w14:textId="77777777" w:rsidR="00D31509" w:rsidRDefault="00DA2B5B">
    <w:pPr>
      <w:pStyle w:val="Header"/>
    </w:pPr>
    <w:r w:rsidRPr="00DA2B5B">
      <w:rPr>
        <w:rFonts w:cs="Arial"/>
        <w:b/>
        <w:bCs/>
        <w:noProof/>
        <w:sz w:val="32"/>
        <w:szCs w:val="32"/>
      </w:rPr>
      <mc:AlternateContent>
        <mc:Choice Requires="wps">
          <w:drawing>
            <wp:anchor distT="0" distB="0" distL="114300" distR="114300" simplePos="0" relativeHeight="251660288" behindDoc="0" locked="0" layoutInCell="1" allowOverlap="1" wp14:anchorId="1194DD87" wp14:editId="164882B8">
              <wp:simplePos x="0" y="0"/>
              <wp:positionH relativeFrom="column">
                <wp:posOffset>-65314</wp:posOffset>
              </wp:positionH>
              <wp:positionV relativeFrom="paragraph">
                <wp:posOffset>82005</wp:posOffset>
              </wp:positionV>
              <wp:extent cx="5943600" cy="0"/>
              <wp:effectExtent l="0" t="0" r="12700" b="12700"/>
              <wp:wrapNone/>
              <wp:docPr id="15092173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7EA8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7CC246D">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7ea8ad" strokeweight=".5pt" from="-5.15pt,6.45pt" to="462.85pt,6.45pt" w14:anchorId="64C3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242A" w14:textId="77777777" w:rsidR="008177B8" w:rsidRDefault="008177B8">
    <w:pPr>
      <w:pStyle w:val="Header"/>
    </w:pPr>
    <w:r>
      <w:rPr>
        <w:noProof/>
        <w:szCs w:val="40"/>
      </w:rPr>
      <mc:AlternateContent>
        <mc:Choice Requires="wps">
          <w:drawing>
            <wp:anchor distT="0" distB="0" distL="114300" distR="114300" simplePos="0" relativeHeight="251664384" behindDoc="0" locked="0" layoutInCell="1" allowOverlap="1" wp14:anchorId="1A63BE24" wp14:editId="7F823601">
              <wp:simplePos x="0" y="0"/>
              <wp:positionH relativeFrom="column">
                <wp:posOffset>12700</wp:posOffset>
              </wp:positionH>
              <wp:positionV relativeFrom="paragraph">
                <wp:posOffset>998855</wp:posOffset>
              </wp:positionV>
              <wp:extent cx="5956300" cy="0"/>
              <wp:effectExtent l="0" t="0" r="12700" b="12700"/>
              <wp:wrapNone/>
              <wp:docPr id="341823608" name="Straight Connector 4"/>
              <wp:cNvGraphicFramePr/>
              <a:graphic xmlns:a="http://schemas.openxmlformats.org/drawingml/2006/main">
                <a:graphicData uri="http://schemas.microsoft.com/office/word/2010/wordprocessingShape">
                  <wps:wsp>
                    <wps:cNvCnPr/>
                    <wps:spPr>
                      <a:xfrm>
                        <a:off x="0" y="0"/>
                        <a:ext cx="5956300" cy="0"/>
                      </a:xfrm>
                      <a:prstGeom prst="line">
                        <a:avLst/>
                      </a:prstGeom>
                      <a:ln>
                        <a:solidFill>
                          <a:srgbClr val="7EA8A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8F21609">
            <v:line id="Straight Connector 4"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7ea8ad" strokeweight=".5pt" from="1pt,78.65pt" to="470pt,78.65pt" w14:anchorId="46C71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">
              <v:stroke joinstyle="miter"/>
            </v:line>
          </w:pict>
        </mc:Fallback>
      </mc:AlternateContent>
    </w:r>
  </w:p>
  <w:p w14:paraId="6B464994" w14:textId="77777777" w:rsidR="004D159B" w:rsidRDefault="004D159B">
    <w:pPr>
      <w:pStyle w:val="Header"/>
    </w:pPr>
    <w:r w:rsidRPr="00600CFD">
      <w:rPr>
        <w:noProof/>
        <w:szCs w:val="40"/>
      </w:rPr>
      <w:drawing>
        <wp:anchor distT="914400" distB="0" distL="114300" distR="114300" simplePos="0" relativeHeight="251663360" behindDoc="0" locked="1" layoutInCell="1" allowOverlap="0" wp14:anchorId="415EB6C7" wp14:editId="6996D837">
          <wp:simplePos x="0" y="0"/>
          <wp:positionH relativeFrom="page">
            <wp:posOffset>621665</wp:posOffset>
          </wp:positionH>
          <wp:positionV relativeFrom="page">
            <wp:posOffset>355600</wp:posOffset>
          </wp:positionV>
          <wp:extent cx="2783205" cy="9906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20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JJ4AGCQop0Pyt" int2:id="rHJNEGrI">
      <int2:state int2:value="Rejected" int2:type="AugLoop_Text_Critique"/>
    </int2:textHash>
    <int2:textHash int2:hashCode="fp+b+9grsxLUhd" int2:id="hgkhN96A">
      <int2:state int2:value="Rejected" int2:type="AugLoop_Text_Critique"/>
    </int2:textHash>
    <int2:textHash int2:hashCode="/fGwxAwQ+FBKrM" int2:id="JhG1rJvM">
      <int2:state int2:value="Rejected" int2:type="AugLoop_Text_Critique"/>
    </int2:textHash>
    <int2:textHash int2:hashCode="PzGyO6bqHRMDN5" int2:id="EfHLY6yC">
      <int2:state int2:value="Rejected" int2:type="AugLoop_Text_Critique"/>
    </int2:textHash>
    <int2:textHash int2:hashCode="kByidkXaRxGvMx" int2:id="4LadPZNS">
      <int2:state int2:value="Rejected" int2:type="AugLoop_Text_Critique"/>
    </int2:textHash>
    <int2:textHash int2:hashCode="Htf1S72AfBCir+" int2:id="gZXImFS1">
      <int2:state int2:value="Rejected" int2:type="AugLoop_Text_Critique"/>
    </int2:textHash>
    <int2:textHash int2:hashCode="QKbdXMtAA3AQAG" int2:id="j0BqPj0s">
      <int2:state int2:value="Rejected" int2:type="AugLoop_Text_Critique"/>
    </int2:textHash>
    <int2:textHash int2:hashCode="QkgRFfxVhPbmK5" int2:id="PmBnEfyY">
      <int2:state int2:value="Rejected" int2:type="AugLoop_Text_Critique"/>
    </int2:textHash>
    <int2:textHash int2:hashCode="3w5QBrNHNN4GfP" int2:id="WZFCC03B">
      <int2:state int2:value="Rejected" int2:type="AugLoop_Text_Critique"/>
    </int2:textHash>
    <int2:textHash int2:hashCode="tfclReeHijwzTx" int2:id="ODtoGi0R">
      <int2:state int2:value="Rejected" int2:type="AugLoop_Text_Critique"/>
    </int2:textHash>
    <int2:textHash int2:hashCode="Jg5SMypZHRqbKh" int2:id="7y15YlLw">
      <int2:state int2:value="Rejected" int2:type="AugLoop_Text_Critique"/>
    </int2:textHash>
    <int2:textHash int2:hashCode="mmMRmEGU3111MC" int2:id="nyPgXPuN">
      <int2:state int2:value="Rejected" int2:type="AugLoop_Text_Critique"/>
    </int2:textHash>
    <int2:textHash int2:hashCode="lodt1j+v+IwJD1" int2:id="cUSVpKo3">
      <int2:state int2:value="Rejected" int2:type="AugLoop_Text_Critique"/>
    </int2:textHash>
    <int2:textHash int2:hashCode="q3+UkM1Ge/V3tR" int2:id="TCYFIspi">
      <int2:state int2:value="Rejected" int2:type="AugLoop_Text_Critique"/>
    </int2:textHash>
    <int2:textHash int2:hashCode="rRQiC4GSOdQmQt" int2:id="iReLH5eT">
      <int2:state int2:value="Rejected" int2:type="AugLoop_Text_Critique"/>
    </int2:textHash>
    <int2:textHash int2:hashCode="8XmVqO83kvdjV7" int2:id="mA6hh16L">
      <int2:state int2:value="Rejected" int2:type="AugLoop_Text_Critique"/>
    </int2:textHash>
    <int2:textHash int2:hashCode="WwTy5KXYC5BOd4" int2:id="svmLJrIh">
      <int2:state int2:value="Rejected" int2:type="AugLoop_Text_Critique"/>
    </int2:textHash>
    <int2:textHash int2:hashCode="AD+wB7idnMyJP3" int2:id="yIVuORU2">
      <int2:state int2:value="Rejected" int2:type="AugLoop_Text_Critique"/>
    </int2:textHash>
    <int2:textHash int2:hashCode="BrztNO4jCJFMIt" int2:id="ZPAJfT5I">
      <int2:state int2:value="Rejected" int2:type="AugLoop_Text_Critique"/>
    </int2:textHash>
    <int2:textHash int2:hashCode="OjV7UIiE+cmodl" int2:id="SFIoCtSU">
      <int2:state int2:value="Rejected" int2:type="AugLoop_Text_Critique"/>
    </int2:textHash>
    <int2:textHash int2:hashCode="qsQMA152ffWjxc" int2:id="C9l8OzeL">
      <int2:state int2:value="Rejected" int2:type="AugLoop_Text_Critique"/>
    </int2:textHash>
    <int2:textHash int2:hashCode="5O3qra/4uR+BVs" int2:id="rHVr71G8">
      <int2:state int2:value="Rejected" int2:type="AugLoop_Text_Critique"/>
    </int2:textHash>
    <int2:textHash int2:hashCode="zFKMQZeo0g/SBs" int2:id="3lvNbRuE">
      <int2:state int2:value="Rejected" int2:type="AugLoop_Text_Critique"/>
    </int2:textHash>
    <int2:textHash int2:hashCode="8rriaBwJGr/O1/" int2:id="K3usNCne">
      <int2:state int2:value="Rejected" int2:type="AugLoop_Text_Critique"/>
    </int2:textHash>
    <int2:textHash int2:hashCode="Q+AU1ocFzLJRl7" int2:id="sIfbfPBf">
      <int2:state int2:value="Rejected" int2:type="AugLoop_Text_Critique"/>
    </int2:textHash>
    <int2:textHash int2:hashCode="XP8Bm+oVpR8Pyp" int2:id="IgrDLrnA">
      <int2:state int2:value="Rejected" int2:type="AugLoop_Text_Critique"/>
    </int2:textHash>
    <int2:textHash int2:hashCode="xm5lM1OzreEacT" int2:id="6pQmPrjg">
      <int2:state int2:value="Rejected" int2:type="AugLoop_Text_Critique"/>
    </int2:textHash>
    <int2:textHash int2:hashCode="wN4JY4DuUlZyUh" int2:id="qjjxYgaX">
      <int2:state int2:value="Rejected" int2:type="AugLoop_Text_Critique"/>
    </int2:textHash>
    <int2:textHash int2:hashCode="/1X1Xk4nxaso/c" int2:id="a0Iw62zZ">
      <int2:state int2:value="Rejected" int2:type="AugLoop_Text_Critique"/>
    </int2:textHash>
    <int2:textHash int2:hashCode="psDRzVTt+3Y071" int2:id="yYjRj9hD">
      <int2:state int2:value="Rejected" int2:type="AugLoop_Text_Critique"/>
    </int2:textHash>
    <int2:textHash int2:hashCode="AXmYCf7mcC5a6G" int2:id="A0oW1OOQ">
      <int2:state int2:value="Rejected" int2:type="AugLoop_Text_Critique"/>
    </int2:textHash>
    <int2:textHash int2:hashCode="m/C6mGJeQTWOW1" int2:id="rn68OnIv">
      <int2:state int2:value="Rejected" int2:type="AugLoop_Text_Critique"/>
    </int2:textHash>
    <int2:bookmark int2:bookmarkName="_Int_BczIpblR" int2:invalidationBookmarkName="" int2:hashCode="LKC8O9fyX418Ev" int2:id="LPjauzxI">
      <int2:state int2:value="Rejected" int2:type="AugLoop_Text_Critique"/>
    </int2:bookmark>
    <int2:bookmark int2:bookmarkName="_Int_LQcHpcqJ" int2:invalidationBookmarkName="" int2:hashCode="XRy5pFIPJG6kns" int2:id="QbIvFfr8">
      <int2:state int2:value="Rejected" int2:type="AugLoop_Text_Critique"/>
    </int2:bookmark>
    <int2:bookmark int2:bookmarkName="_Int_LkFICZfw" int2:invalidationBookmarkName="" int2:hashCode="1QbqWw3JXiTRuP" int2:id="lsCBrAtc">
      <int2:state int2:value="Rejected" int2:type="AugLoop_Text_Critique"/>
    </int2:bookmark>
    <int2:bookmark int2:bookmarkName="_Int_cjqV0Qmx" int2:invalidationBookmarkName="" int2:hashCode="FiNCzSReCiV7Qq" int2:id="KAMj1nd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773B4"/>
    <w:multiLevelType w:val="hybridMultilevel"/>
    <w:tmpl w:val="FBA2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B06E8"/>
    <w:multiLevelType w:val="multilevel"/>
    <w:tmpl w:val="409ADB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58F1512"/>
    <w:multiLevelType w:val="multilevel"/>
    <w:tmpl w:val="3672295C"/>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1A1154"/>
    <w:multiLevelType w:val="multilevel"/>
    <w:tmpl w:val="F9245E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AB5542"/>
    <w:multiLevelType w:val="multilevel"/>
    <w:tmpl w:val="20DE2B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B3B07F3"/>
    <w:multiLevelType w:val="multilevel"/>
    <w:tmpl w:val="7018D262"/>
    <w:styleLink w:val="CurrentList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E586B6C"/>
    <w:multiLevelType w:val="multilevel"/>
    <w:tmpl w:val="D650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57CDB"/>
    <w:multiLevelType w:val="multilevel"/>
    <w:tmpl w:val="A65A6EC6"/>
    <w:styleLink w:val="CurrentList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D96DC7"/>
    <w:multiLevelType w:val="hybridMultilevel"/>
    <w:tmpl w:val="3E98B628"/>
    <w:lvl w:ilvl="0" w:tplc="3678FF8C">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C482D"/>
    <w:multiLevelType w:val="hybridMultilevel"/>
    <w:tmpl w:val="455EB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1236D"/>
    <w:multiLevelType w:val="multilevel"/>
    <w:tmpl w:val="334080C4"/>
    <w:styleLink w:val="CurrentList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CD17CD"/>
    <w:multiLevelType w:val="multilevel"/>
    <w:tmpl w:val="D2688416"/>
    <w:lvl w:ilvl="0">
      <w:start w:val="1"/>
      <w:numFmt w:val="decimal"/>
      <w:lvlText w:val="%1."/>
      <w:lvlJc w:val="left"/>
      <w:pPr>
        <w:tabs>
          <w:tab w:val="num" w:pos="288"/>
        </w:tabs>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60A31737"/>
    <w:multiLevelType w:val="multilevel"/>
    <w:tmpl w:val="A0EAD7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24E0E54"/>
    <w:multiLevelType w:val="multilevel"/>
    <w:tmpl w:val="5E485D4C"/>
    <w:lvl w:ilvl="0">
      <w:start w:val="1"/>
      <w:numFmt w:val="bullet"/>
      <w:lvlText w:val=""/>
      <w:lvlJc w:val="left"/>
      <w:pPr>
        <w:tabs>
          <w:tab w:val="num" w:pos="288"/>
        </w:tabs>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19060C"/>
    <w:multiLevelType w:val="multilevel"/>
    <w:tmpl w:val="1D54A91C"/>
    <w:lvl w:ilvl="0">
      <w:start w:val="1"/>
      <w:numFmt w:val="bullet"/>
      <w:lvlText w:val=""/>
      <w:lvlJc w:val="left"/>
      <w:pPr>
        <w:tabs>
          <w:tab w:val="num" w:pos="288"/>
        </w:tabs>
        <w:ind w:left="360" w:hanging="288"/>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AFB6878"/>
    <w:multiLevelType w:val="multilevel"/>
    <w:tmpl w:val="981E5D24"/>
    <w:lvl w:ilvl="0">
      <w:start w:val="1"/>
      <w:numFmt w:val="bullet"/>
      <w:lvlText w:val=""/>
      <w:lvlJc w:val="left"/>
      <w:pPr>
        <w:tabs>
          <w:tab w:val="num" w:pos="288"/>
        </w:tabs>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855D23"/>
    <w:multiLevelType w:val="multilevel"/>
    <w:tmpl w:val="AE5CA48E"/>
    <w:styleLink w:val="CurrentList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29C0909"/>
    <w:multiLevelType w:val="hybridMultilevel"/>
    <w:tmpl w:val="A1A0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2D7C1A"/>
    <w:multiLevelType w:val="multilevel"/>
    <w:tmpl w:val="2BA856FA"/>
    <w:lvl w:ilvl="0">
      <w:start w:val="1"/>
      <w:numFmt w:val="bullet"/>
      <w:lvlText w:val=""/>
      <w:lvlJc w:val="left"/>
      <w:pPr>
        <w:tabs>
          <w:tab w:val="num" w:pos="288"/>
        </w:tabs>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863B41"/>
    <w:multiLevelType w:val="multilevel"/>
    <w:tmpl w:val="71E4BE00"/>
    <w:styleLink w:val="CurrentList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8740949">
    <w:abstractNumId w:val="0"/>
  </w:num>
  <w:num w:numId="2" w16cid:durableId="1347169867">
    <w:abstractNumId w:val="9"/>
  </w:num>
  <w:num w:numId="3" w16cid:durableId="61829180">
    <w:abstractNumId w:val="2"/>
  </w:num>
  <w:num w:numId="4" w16cid:durableId="430711076">
    <w:abstractNumId w:val="4"/>
  </w:num>
  <w:num w:numId="5" w16cid:durableId="1267496934">
    <w:abstractNumId w:val="1"/>
  </w:num>
  <w:num w:numId="6" w16cid:durableId="968705295">
    <w:abstractNumId w:val="11"/>
  </w:num>
  <w:num w:numId="7" w16cid:durableId="584652054">
    <w:abstractNumId w:val="14"/>
  </w:num>
  <w:num w:numId="8" w16cid:durableId="813915321">
    <w:abstractNumId w:val="18"/>
  </w:num>
  <w:num w:numId="9" w16cid:durableId="66005589">
    <w:abstractNumId w:val="13"/>
  </w:num>
  <w:num w:numId="10" w16cid:durableId="403573948">
    <w:abstractNumId w:val="15"/>
  </w:num>
  <w:num w:numId="11" w16cid:durableId="484855470">
    <w:abstractNumId w:val="12"/>
  </w:num>
  <w:num w:numId="12" w16cid:durableId="1304853457">
    <w:abstractNumId w:val="3"/>
  </w:num>
  <w:num w:numId="13" w16cid:durableId="710421461">
    <w:abstractNumId w:val="17"/>
  </w:num>
  <w:num w:numId="14" w16cid:durableId="508449357">
    <w:abstractNumId w:val="5"/>
  </w:num>
  <w:num w:numId="15" w16cid:durableId="1810316570">
    <w:abstractNumId w:val="19"/>
  </w:num>
  <w:num w:numId="16" w16cid:durableId="745687950">
    <w:abstractNumId w:val="7"/>
  </w:num>
  <w:num w:numId="17" w16cid:durableId="1135293855">
    <w:abstractNumId w:val="10"/>
  </w:num>
  <w:num w:numId="18" w16cid:durableId="1399742200">
    <w:abstractNumId w:val="16"/>
  </w:num>
  <w:num w:numId="19" w16cid:durableId="2021196126">
    <w:abstractNumId w:val="8"/>
  </w:num>
  <w:num w:numId="20" w16cid:durableId="149908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93"/>
    <w:rsid w:val="0001466E"/>
    <w:rsid w:val="00026E2F"/>
    <w:rsid w:val="000326DB"/>
    <w:rsid w:val="00054F3D"/>
    <w:rsid w:val="000690CD"/>
    <w:rsid w:val="00090336"/>
    <w:rsid w:val="000B3B3E"/>
    <w:rsid w:val="000B6362"/>
    <w:rsid w:val="000C0305"/>
    <w:rsid w:val="000C1EAD"/>
    <w:rsid w:val="000E0465"/>
    <w:rsid w:val="000E64E0"/>
    <w:rsid w:val="000F3A75"/>
    <w:rsid w:val="001056EF"/>
    <w:rsid w:val="00121565"/>
    <w:rsid w:val="00142FCB"/>
    <w:rsid w:val="00146F61"/>
    <w:rsid w:val="001543E2"/>
    <w:rsid w:val="00167E71"/>
    <w:rsid w:val="001872E6"/>
    <w:rsid w:val="00192B7B"/>
    <w:rsid w:val="00196078"/>
    <w:rsid w:val="001B6516"/>
    <w:rsid w:val="001E5347"/>
    <w:rsid w:val="001F27DA"/>
    <w:rsid w:val="001F73B5"/>
    <w:rsid w:val="00243142"/>
    <w:rsid w:val="002466DE"/>
    <w:rsid w:val="00263FF7"/>
    <w:rsid w:val="002653FC"/>
    <w:rsid w:val="00265575"/>
    <w:rsid w:val="00265DA9"/>
    <w:rsid w:val="002728C9"/>
    <w:rsid w:val="00293113"/>
    <w:rsid w:val="002A1CFE"/>
    <w:rsid w:val="002A4BC6"/>
    <w:rsid w:val="002B473D"/>
    <w:rsid w:val="002E3621"/>
    <w:rsid w:val="002F6068"/>
    <w:rsid w:val="0031698B"/>
    <w:rsid w:val="003743A9"/>
    <w:rsid w:val="003853C5"/>
    <w:rsid w:val="003904E8"/>
    <w:rsid w:val="003F55E1"/>
    <w:rsid w:val="00437050"/>
    <w:rsid w:val="00437A2C"/>
    <w:rsid w:val="00444B69"/>
    <w:rsid w:val="004661F5"/>
    <w:rsid w:val="00491F58"/>
    <w:rsid w:val="004D159B"/>
    <w:rsid w:val="00500DDC"/>
    <w:rsid w:val="00531E25"/>
    <w:rsid w:val="005344B0"/>
    <w:rsid w:val="00543158"/>
    <w:rsid w:val="00544037"/>
    <w:rsid w:val="00564F90"/>
    <w:rsid w:val="00590E73"/>
    <w:rsid w:val="005975FF"/>
    <w:rsid w:val="005D7E3E"/>
    <w:rsid w:val="005E1FFC"/>
    <w:rsid w:val="005E448B"/>
    <w:rsid w:val="00630393"/>
    <w:rsid w:val="00635115"/>
    <w:rsid w:val="0064084B"/>
    <w:rsid w:val="00655086"/>
    <w:rsid w:val="00674CBA"/>
    <w:rsid w:val="006A78A0"/>
    <w:rsid w:val="006A7BE2"/>
    <w:rsid w:val="006C2811"/>
    <w:rsid w:val="006D0449"/>
    <w:rsid w:val="006D5279"/>
    <w:rsid w:val="006E3426"/>
    <w:rsid w:val="006F06B3"/>
    <w:rsid w:val="006F13E4"/>
    <w:rsid w:val="006F5B12"/>
    <w:rsid w:val="00701AB1"/>
    <w:rsid w:val="0070773B"/>
    <w:rsid w:val="007307C0"/>
    <w:rsid w:val="007371EC"/>
    <w:rsid w:val="0074401E"/>
    <w:rsid w:val="0077177B"/>
    <w:rsid w:val="00790065"/>
    <w:rsid w:val="007B0EC0"/>
    <w:rsid w:val="007B3299"/>
    <w:rsid w:val="007B3F8D"/>
    <w:rsid w:val="007B44F0"/>
    <w:rsid w:val="007F70C7"/>
    <w:rsid w:val="00807842"/>
    <w:rsid w:val="00807F84"/>
    <w:rsid w:val="00813430"/>
    <w:rsid w:val="008177B8"/>
    <w:rsid w:val="00826AEB"/>
    <w:rsid w:val="00833B2A"/>
    <w:rsid w:val="00845E53"/>
    <w:rsid w:val="00847C24"/>
    <w:rsid w:val="00866C3A"/>
    <w:rsid w:val="0087111F"/>
    <w:rsid w:val="008A4530"/>
    <w:rsid w:val="008A609C"/>
    <w:rsid w:val="008E70A8"/>
    <w:rsid w:val="008F1888"/>
    <w:rsid w:val="008F32D8"/>
    <w:rsid w:val="00916897"/>
    <w:rsid w:val="00922216"/>
    <w:rsid w:val="0092690C"/>
    <w:rsid w:val="009348C9"/>
    <w:rsid w:val="00940F4C"/>
    <w:rsid w:val="00945662"/>
    <w:rsid w:val="009467FB"/>
    <w:rsid w:val="00950E34"/>
    <w:rsid w:val="00977EE3"/>
    <w:rsid w:val="00985957"/>
    <w:rsid w:val="009A7042"/>
    <w:rsid w:val="009D16A6"/>
    <w:rsid w:val="009D297E"/>
    <w:rsid w:val="009D437D"/>
    <w:rsid w:val="009D5D6C"/>
    <w:rsid w:val="00A018BC"/>
    <w:rsid w:val="00A12C2C"/>
    <w:rsid w:val="00A22098"/>
    <w:rsid w:val="00A23591"/>
    <w:rsid w:val="00A24593"/>
    <w:rsid w:val="00A67860"/>
    <w:rsid w:val="00A74499"/>
    <w:rsid w:val="00A92363"/>
    <w:rsid w:val="00AA4E85"/>
    <w:rsid w:val="00AE3FE2"/>
    <w:rsid w:val="00AF6E21"/>
    <w:rsid w:val="00B17EC4"/>
    <w:rsid w:val="00B44C06"/>
    <w:rsid w:val="00B87BC1"/>
    <w:rsid w:val="00BA06B0"/>
    <w:rsid w:val="00BB3F06"/>
    <w:rsid w:val="00BC1B3F"/>
    <w:rsid w:val="00BE2834"/>
    <w:rsid w:val="00BF3AD1"/>
    <w:rsid w:val="00C02354"/>
    <w:rsid w:val="00C262B2"/>
    <w:rsid w:val="00C301BB"/>
    <w:rsid w:val="00C46A1A"/>
    <w:rsid w:val="00C763FD"/>
    <w:rsid w:val="00C76EFA"/>
    <w:rsid w:val="00CA17A7"/>
    <w:rsid w:val="00CA1AAD"/>
    <w:rsid w:val="00CB7201"/>
    <w:rsid w:val="00CB76A5"/>
    <w:rsid w:val="00CC2B48"/>
    <w:rsid w:val="00CC7A76"/>
    <w:rsid w:val="00CD0E29"/>
    <w:rsid w:val="00CF4FFA"/>
    <w:rsid w:val="00D31509"/>
    <w:rsid w:val="00D64F6B"/>
    <w:rsid w:val="00D8765C"/>
    <w:rsid w:val="00D87DBD"/>
    <w:rsid w:val="00D960AE"/>
    <w:rsid w:val="00DA2B5B"/>
    <w:rsid w:val="00DB0C67"/>
    <w:rsid w:val="00DD64F0"/>
    <w:rsid w:val="00DF005E"/>
    <w:rsid w:val="00DF4C95"/>
    <w:rsid w:val="00E06711"/>
    <w:rsid w:val="00E3799A"/>
    <w:rsid w:val="00E5204C"/>
    <w:rsid w:val="00E54B5C"/>
    <w:rsid w:val="00E8582B"/>
    <w:rsid w:val="00E94567"/>
    <w:rsid w:val="00EA184A"/>
    <w:rsid w:val="00EB5D4F"/>
    <w:rsid w:val="00EB5D7C"/>
    <w:rsid w:val="00EC003C"/>
    <w:rsid w:val="00EC3A22"/>
    <w:rsid w:val="00ED4337"/>
    <w:rsid w:val="00EF569D"/>
    <w:rsid w:val="00EF7595"/>
    <w:rsid w:val="00F07FA6"/>
    <w:rsid w:val="00F35476"/>
    <w:rsid w:val="00F611F6"/>
    <w:rsid w:val="00F829B9"/>
    <w:rsid w:val="00F91B18"/>
    <w:rsid w:val="00F97AA2"/>
    <w:rsid w:val="00FA79FE"/>
    <w:rsid w:val="00FC455B"/>
    <w:rsid w:val="00FF278A"/>
    <w:rsid w:val="01E6D1B4"/>
    <w:rsid w:val="01E7284F"/>
    <w:rsid w:val="0351E28D"/>
    <w:rsid w:val="09245A5D"/>
    <w:rsid w:val="0B0385E5"/>
    <w:rsid w:val="0C2E1696"/>
    <w:rsid w:val="0D581CF1"/>
    <w:rsid w:val="0F1F7E4A"/>
    <w:rsid w:val="1085D967"/>
    <w:rsid w:val="10DC8F9F"/>
    <w:rsid w:val="10E47099"/>
    <w:rsid w:val="11859031"/>
    <w:rsid w:val="12135C24"/>
    <w:rsid w:val="123AA41F"/>
    <w:rsid w:val="12B95C22"/>
    <w:rsid w:val="134F850B"/>
    <w:rsid w:val="13D3D94E"/>
    <w:rsid w:val="167B9C7A"/>
    <w:rsid w:val="18042DE0"/>
    <w:rsid w:val="18941195"/>
    <w:rsid w:val="193B755D"/>
    <w:rsid w:val="19E31E56"/>
    <w:rsid w:val="1A473FC4"/>
    <w:rsid w:val="1AC9B80F"/>
    <w:rsid w:val="1CDCDB34"/>
    <w:rsid w:val="1D0510F5"/>
    <w:rsid w:val="1E3491A7"/>
    <w:rsid w:val="1ED666D7"/>
    <w:rsid w:val="1F2B7C34"/>
    <w:rsid w:val="1F6C7D9C"/>
    <w:rsid w:val="215FDF54"/>
    <w:rsid w:val="217F2E1C"/>
    <w:rsid w:val="21A1E5D0"/>
    <w:rsid w:val="226EA42A"/>
    <w:rsid w:val="2365EFE6"/>
    <w:rsid w:val="23F44B74"/>
    <w:rsid w:val="2587193E"/>
    <w:rsid w:val="26BB1071"/>
    <w:rsid w:val="296BA22C"/>
    <w:rsid w:val="2A0C8601"/>
    <w:rsid w:val="2B73251C"/>
    <w:rsid w:val="2C50707C"/>
    <w:rsid w:val="2D71F265"/>
    <w:rsid w:val="3023ACC5"/>
    <w:rsid w:val="309E13B8"/>
    <w:rsid w:val="31F62275"/>
    <w:rsid w:val="32C3884C"/>
    <w:rsid w:val="32F00C43"/>
    <w:rsid w:val="34A1ED47"/>
    <w:rsid w:val="373D2DA5"/>
    <w:rsid w:val="37816F63"/>
    <w:rsid w:val="391281A6"/>
    <w:rsid w:val="3A578F4F"/>
    <w:rsid w:val="3BF3D36D"/>
    <w:rsid w:val="3BFB5584"/>
    <w:rsid w:val="3C71C6D3"/>
    <w:rsid w:val="3E143FFD"/>
    <w:rsid w:val="3FD8E52D"/>
    <w:rsid w:val="40D10C65"/>
    <w:rsid w:val="438A249F"/>
    <w:rsid w:val="4392324D"/>
    <w:rsid w:val="460BE3D0"/>
    <w:rsid w:val="46D77842"/>
    <w:rsid w:val="4886F09E"/>
    <w:rsid w:val="4961C29C"/>
    <w:rsid w:val="4CACCA89"/>
    <w:rsid w:val="4CD65B90"/>
    <w:rsid w:val="4FE10B70"/>
    <w:rsid w:val="51FF5C01"/>
    <w:rsid w:val="54F5AFE6"/>
    <w:rsid w:val="55531969"/>
    <w:rsid w:val="561C4CC2"/>
    <w:rsid w:val="56CCCDB2"/>
    <w:rsid w:val="57BF2CF1"/>
    <w:rsid w:val="5A39BA65"/>
    <w:rsid w:val="5B4740EA"/>
    <w:rsid w:val="5C28B45F"/>
    <w:rsid w:val="5C65B8EA"/>
    <w:rsid w:val="5CC2BC44"/>
    <w:rsid w:val="5EBF2702"/>
    <w:rsid w:val="5F14D066"/>
    <w:rsid w:val="5F722653"/>
    <w:rsid w:val="5FD1DD9F"/>
    <w:rsid w:val="603D330C"/>
    <w:rsid w:val="60852E90"/>
    <w:rsid w:val="61109BE8"/>
    <w:rsid w:val="61CBB305"/>
    <w:rsid w:val="631BC210"/>
    <w:rsid w:val="640866D9"/>
    <w:rsid w:val="666C07D8"/>
    <w:rsid w:val="67412E91"/>
    <w:rsid w:val="6761F58C"/>
    <w:rsid w:val="67FAF97A"/>
    <w:rsid w:val="6885BD43"/>
    <w:rsid w:val="68FEFC7D"/>
    <w:rsid w:val="69A93F0C"/>
    <w:rsid w:val="69C56AE8"/>
    <w:rsid w:val="69DF5F89"/>
    <w:rsid w:val="6CF9F113"/>
    <w:rsid w:val="6CFAAFE6"/>
    <w:rsid w:val="6D259129"/>
    <w:rsid w:val="6E3F4018"/>
    <w:rsid w:val="6EC9F49C"/>
    <w:rsid w:val="71919D0E"/>
    <w:rsid w:val="73371DCB"/>
    <w:rsid w:val="73E5695C"/>
    <w:rsid w:val="74650586"/>
    <w:rsid w:val="754CCD2C"/>
    <w:rsid w:val="754DBC41"/>
    <w:rsid w:val="759BFF08"/>
    <w:rsid w:val="75FC8BE5"/>
    <w:rsid w:val="7912E975"/>
    <w:rsid w:val="7BC38DB3"/>
    <w:rsid w:val="7C6C5B14"/>
    <w:rsid w:val="7CB3F1D3"/>
    <w:rsid w:val="7CEEA445"/>
    <w:rsid w:val="7F1F2CD9"/>
    <w:rsid w:val="7F3E5886"/>
    <w:rsid w:val="7F59748C"/>
    <w:rsid w:val="7FC6DEFD"/>
    <w:rsid w:val="7FE19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063C"/>
  <w15:chartTrackingRefBased/>
  <w15:docId w15:val="{A68D9CE0-6D2C-5A44-8476-432F596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EF"/>
    <w:pPr>
      <w:spacing w:line="360" w:lineRule="auto"/>
    </w:pPr>
    <w:rPr>
      <w:rFonts w:ascii="Arial" w:hAnsi="Arial"/>
      <w:sz w:val="22"/>
    </w:rPr>
  </w:style>
  <w:style w:type="paragraph" w:styleId="Heading1">
    <w:name w:val="heading 1"/>
    <w:basedOn w:val="Normal"/>
    <w:next w:val="Normal"/>
    <w:link w:val="Heading1Char"/>
    <w:uiPriority w:val="9"/>
    <w:qFormat/>
    <w:rsid w:val="001E5347"/>
    <w:pPr>
      <w:keepNext/>
      <w:keepLines/>
      <w:spacing w:before="360" w:after="80"/>
      <w:outlineLvl w:val="0"/>
    </w:pPr>
    <w:rPr>
      <w:rFonts w:eastAsiaTheme="majorEastAsia" w:cs="Arial"/>
      <w:b/>
      <w:bCs/>
      <w:color w:val="000000" w:themeColor="text1"/>
      <w:sz w:val="32"/>
      <w:szCs w:val="32"/>
    </w:rPr>
  </w:style>
  <w:style w:type="paragraph" w:styleId="Heading2">
    <w:name w:val="heading 2"/>
    <w:basedOn w:val="Normal"/>
    <w:next w:val="Normal"/>
    <w:link w:val="Heading2Char"/>
    <w:uiPriority w:val="9"/>
    <w:unhideWhenUsed/>
    <w:qFormat/>
    <w:rsid w:val="00544037"/>
    <w:pPr>
      <w:keepNext/>
      <w:keepLines/>
      <w:spacing w:before="160" w:after="80"/>
      <w:outlineLvl w:val="1"/>
    </w:pPr>
    <w:rPr>
      <w:rFonts w:eastAsiaTheme="majorEastAsia" w:cstheme="majorBidi"/>
      <w:b/>
      <w:color w:val="000000" w:themeColor="text1"/>
      <w:sz w:val="26"/>
      <w:szCs w:val="32"/>
    </w:rPr>
  </w:style>
  <w:style w:type="paragraph" w:styleId="Heading3">
    <w:name w:val="heading 3"/>
    <w:basedOn w:val="Normal"/>
    <w:next w:val="Normal"/>
    <w:link w:val="Heading3Char"/>
    <w:uiPriority w:val="9"/>
    <w:unhideWhenUsed/>
    <w:qFormat/>
    <w:rsid w:val="001E5347"/>
    <w:pPr>
      <w:keepNext/>
      <w:keepLines/>
      <w:spacing w:before="160" w:after="80"/>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unhideWhenUsed/>
    <w:qFormat/>
    <w:rsid w:val="006303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03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03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3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3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3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347"/>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544037"/>
    <w:rPr>
      <w:rFonts w:ascii="Arial" w:eastAsiaTheme="majorEastAsia" w:hAnsi="Arial" w:cstheme="majorBidi"/>
      <w:b/>
      <w:color w:val="000000" w:themeColor="text1"/>
      <w:sz w:val="26"/>
      <w:szCs w:val="32"/>
    </w:rPr>
  </w:style>
  <w:style w:type="character" w:customStyle="1" w:styleId="Heading3Char">
    <w:name w:val="Heading 3 Char"/>
    <w:basedOn w:val="DefaultParagraphFont"/>
    <w:link w:val="Heading3"/>
    <w:uiPriority w:val="9"/>
    <w:rsid w:val="001E5347"/>
    <w:rPr>
      <w:rFonts w:ascii="Arial" w:eastAsiaTheme="majorEastAsia" w:hAnsi="Arial" w:cstheme="majorBidi"/>
      <w:b/>
      <w:color w:val="000000" w:themeColor="text1"/>
      <w:szCs w:val="28"/>
    </w:rPr>
  </w:style>
  <w:style w:type="character" w:customStyle="1" w:styleId="Heading4Char">
    <w:name w:val="Heading 4 Char"/>
    <w:basedOn w:val="DefaultParagraphFont"/>
    <w:link w:val="Heading4"/>
    <w:uiPriority w:val="9"/>
    <w:rsid w:val="006303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3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393"/>
    <w:rPr>
      <w:rFonts w:eastAsiaTheme="majorEastAsia" w:cstheme="majorBidi"/>
      <w:color w:val="272727" w:themeColor="text1" w:themeTint="D8"/>
    </w:rPr>
  </w:style>
  <w:style w:type="paragraph" w:styleId="Title">
    <w:name w:val="Title"/>
    <w:basedOn w:val="Normal"/>
    <w:next w:val="Normal"/>
    <w:link w:val="TitleChar"/>
    <w:uiPriority w:val="10"/>
    <w:qFormat/>
    <w:rsid w:val="00243142"/>
    <w:pPr>
      <w:spacing w:after="80" w:line="240" w:lineRule="auto"/>
      <w:contextualSpacing/>
    </w:pPr>
    <w:rPr>
      <w:rFonts w:eastAsiaTheme="majorEastAsia" w:cs="Times New Roman (Headings CS)"/>
      <w:b/>
      <w:color w:val="7EA8AD"/>
      <w:spacing w:val="-10"/>
      <w:kern w:val="28"/>
      <w:sz w:val="40"/>
      <w:szCs w:val="56"/>
    </w:rPr>
  </w:style>
  <w:style w:type="character" w:customStyle="1" w:styleId="TitleChar">
    <w:name w:val="Title Char"/>
    <w:basedOn w:val="DefaultParagraphFont"/>
    <w:link w:val="Title"/>
    <w:uiPriority w:val="10"/>
    <w:rsid w:val="00243142"/>
    <w:rPr>
      <w:rFonts w:ascii="Arial" w:eastAsiaTheme="majorEastAsia" w:hAnsi="Arial" w:cs="Times New Roman (Headings CS)"/>
      <w:b/>
      <w:color w:val="7EA8AD"/>
      <w:spacing w:val="-10"/>
      <w:kern w:val="28"/>
      <w:sz w:val="40"/>
      <w:szCs w:val="56"/>
    </w:rPr>
  </w:style>
  <w:style w:type="paragraph" w:styleId="Subtitle">
    <w:name w:val="Subtitle"/>
    <w:basedOn w:val="Normal"/>
    <w:next w:val="Normal"/>
    <w:link w:val="SubtitleChar"/>
    <w:uiPriority w:val="11"/>
    <w:qFormat/>
    <w:rsid w:val="00243142"/>
    <w:pPr>
      <w:numPr>
        <w:ilvl w:val="1"/>
      </w:numPr>
      <w:spacing w:after="160" w:line="240" w:lineRule="auto"/>
    </w:pPr>
    <w:rPr>
      <w:rFonts w:eastAsiaTheme="majorEastAsia" w:cstheme="majorBidi"/>
      <w:b/>
      <w:color w:val="7EA8AD"/>
      <w:spacing w:val="15"/>
      <w:sz w:val="32"/>
      <w:szCs w:val="28"/>
    </w:rPr>
  </w:style>
  <w:style w:type="character" w:customStyle="1" w:styleId="SubtitleChar">
    <w:name w:val="Subtitle Char"/>
    <w:basedOn w:val="DefaultParagraphFont"/>
    <w:link w:val="Subtitle"/>
    <w:uiPriority w:val="11"/>
    <w:rsid w:val="00243142"/>
    <w:rPr>
      <w:rFonts w:ascii="Arial" w:eastAsiaTheme="majorEastAsia" w:hAnsi="Arial" w:cstheme="majorBidi"/>
      <w:b/>
      <w:color w:val="7EA8AD"/>
      <w:spacing w:val="15"/>
      <w:sz w:val="32"/>
      <w:szCs w:val="28"/>
    </w:rPr>
  </w:style>
  <w:style w:type="paragraph" w:styleId="Quote">
    <w:name w:val="Quote"/>
    <w:basedOn w:val="Normal"/>
    <w:next w:val="Normal"/>
    <w:link w:val="QuoteChar"/>
    <w:uiPriority w:val="29"/>
    <w:qFormat/>
    <w:rsid w:val="006303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0393"/>
    <w:rPr>
      <w:i/>
      <w:iCs/>
      <w:color w:val="404040" w:themeColor="text1" w:themeTint="BF"/>
    </w:rPr>
  </w:style>
  <w:style w:type="paragraph" w:styleId="ListParagraph">
    <w:name w:val="List Paragraph"/>
    <w:basedOn w:val="Normal"/>
    <w:uiPriority w:val="34"/>
    <w:qFormat/>
    <w:rsid w:val="00630393"/>
    <w:pPr>
      <w:ind w:left="720"/>
      <w:contextualSpacing/>
    </w:pPr>
  </w:style>
  <w:style w:type="character" w:styleId="IntenseEmphasis">
    <w:name w:val="Intense Emphasis"/>
    <w:basedOn w:val="DefaultParagraphFont"/>
    <w:uiPriority w:val="21"/>
    <w:qFormat/>
    <w:rsid w:val="00630393"/>
    <w:rPr>
      <w:i/>
      <w:iCs/>
      <w:color w:val="2F5496" w:themeColor="accent1" w:themeShade="BF"/>
    </w:rPr>
  </w:style>
  <w:style w:type="paragraph" w:styleId="IntenseQuote">
    <w:name w:val="Intense Quote"/>
    <w:basedOn w:val="Normal"/>
    <w:next w:val="Normal"/>
    <w:link w:val="IntenseQuoteChar"/>
    <w:uiPriority w:val="30"/>
    <w:qFormat/>
    <w:rsid w:val="00630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0393"/>
    <w:rPr>
      <w:i/>
      <w:iCs/>
      <w:color w:val="2F5496" w:themeColor="accent1" w:themeShade="BF"/>
    </w:rPr>
  </w:style>
  <w:style w:type="character" w:styleId="IntenseReference">
    <w:name w:val="Intense Reference"/>
    <w:basedOn w:val="DefaultParagraphFont"/>
    <w:uiPriority w:val="32"/>
    <w:qFormat/>
    <w:rsid w:val="00630393"/>
    <w:rPr>
      <w:b/>
      <w:bCs/>
      <w:smallCaps/>
      <w:color w:val="2F5496" w:themeColor="accent1" w:themeShade="BF"/>
      <w:spacing w:val="5"/>
    </w:rPr>
  </w:style>
  <w:style w:type="paragraph" w:styleId="Header">
    <w:name w:val="header"/>
    <w:basedOn w:val="Normal"/>
    <w:link w:val="HeaderChar"/>
    <w:uiPriority w:val="99"/>
    <w:unhideWhenUsed/>
    <w:rsid w:val="00D31509"/>
    <w:pPr>
      <w:tabs>
        <w:tab w:val="center" w:pos="4680"/>
        <w:tab w:val="right" w:pos="9360"/>
      </w:tabs>
    </w:pPr>
  </w:style>
  <w:style w:type="character" w:customStyle="1" w:styleId="HeaderChar">
    <w:name w:val="Header Char"/>
    <w:basedOn w:val="DefaultParagraphFont"/>
    <w:link w:val="Header"/>
    <w:uiPriority w:val="99"/>
    <w:rsid w:val="00D31509"/>
  </w:style>
  <w:style w:type="paragraph" w:styleId="Footer">
    <w:name w:val="footer"/>
    <w:basedOn w:val="Normal"/>
    <w:link w:val="FooterChar"/>
    <w:uiPriority w:val="99"/>
    <w:unhideWhenUsed/>
    <w:rsid w:val="00D31509"/>
    <w:pPr>
      <w:tabs>
        <w:tab w:val="center" w:pos="4680"/>
        <w:tab w:val="right" w:pos="9360"/>
      </w:tabs>
    </w:pPr>
  </w:style>
  <w:style w:type="character" w:customStyle="1" w:styleId="FooterChar">
    <w:name w:val="Footer Char"/>
    <w:basedOn w:val="DefaultParagraphFont"/>
    <w:link w:val="Footer"/>
    <w:uiPriority w:val="99"/>
    <w:rsid w:val="00D31509"/>
  </w:style>
  <w:style w:type="character" w:styleId="Hyperlink">
    <w:name w:val="Hyperlink"/>
    <w:basedOn w:val="DefaultParagraphFont"/>
    <w:uiPriority w:val="99"/>
    <w:unhideWhenUsed/>
    <w:rsid w:val="004D159B"/>
    <w:rPr>
      <w:color w:val="0563C1" w:themeColor="hyperlink"/>
      <w:u w:val="single"/>
    </w:rPr>
  </w:style>
  <w:style w:type="character" w:styleId="UnresolvedMention">
    <w:name w:val="Unresolved Mention"/>
    <w:basedOn w:val="DefaultParagraphFont"/>
    <w:uiPriority w:val="99"/>
    <w:semiHidden/>
    <w:unhideWhenUsed/>
    <w:rsid w:val="004D159B"/>
    <w:rPr>
      <w:color w:val="605E5C"/>
      <w:shd w:val="clear" w:color="auto" w:fill="E1DFDD"/>
    </w:rPr>
  </w:style>
  <w:style w:type="character" w:styleId="PageNumber">
    <w:name w:val="page number"/>
    <w:basedOn w:val="DefaultParagraphFont"/>
    <w:uiPriority w:val="99"/>
    <w:semiHidden/>
    <w:unhideWhenUsed/>
    <w:rsid w:val="004D159B"/>
  </w:style>
  <w:style w:type="character" w:customStyle="1" w:styleId="VersionNumber">
    <w:name w:val="Version Number"/>
    <w:basedOn w:val="DefaultParagraphFont"/>
    <w:uiPriority w:val="1"/>
    <w:qFormat/>
    <w:rsid w:val="00ED4337"/>
  </w:style>
  <w:style w:type="character" w:customStyle="1" w:styleId="DocumentDate">
    <w:name w:val="Document Date"/>
    <w:basedOn w:val="VersionNumber"/>
    <w:uiPriority w:val="1"/>
    <w:qFormat/>
    <w:rsid w:val="00ED4337"/>
  </w:style>
  <w:style w:type="character" w:styleId="CommentReference">
    <w:name w:val="annotation reference"/>
    <w:basedOn w:val="DefaultParagraphFont"/>
    <w:uiPriority w:val="99"/>
    <w:semiHidden/>
    <w:unhideWhenUsed/>
    <w:rsid w:val="00ED4337"/>
    <w:rPr>
      <w:sz w:val="18"/>
      <w:szCs w:val="18"/>
    </w:rPr>
  </w:style>
  <w:style w:type="paragraph" w:styleId="CommentText">
    <w:name w:val="annotation text"/>
    <w:basedOn w:val="Normal"/>
    <w:link w:val="CommentTextChar"/>
    <w:uiPriority w:val="99"/>
    <w:unhideWhenUsed/>
    <w:rsid w:val="00ED4337"/>
    <w:pPr>
      <w:spacing w:before="120" w:after="120"/>
    </w:pPr>
    <w:rPr>
      <w:kern w:val="0"/>
      <w14:ligatures w14:val="none"/>
    </w:rPr>
  </w:style>
  <w:style w:type="character" w:customStyle="1" w:styleId="CommentTextChar">
    <w:name w:val="Comment Text Char"/>
    <w:basedOn w:val="DefaultParagraphFont"/>
    <w:link w:val="CommentText"/>
    <w:uiPriority w:val="99"/>
    <w:rsid w:val="00ED4337"/>
    <w:rPr>
      <w:rFonts w:ascii="Arial" w:hAnsi="Arial"/>
      <w:kern w:val="0"/>
      <w14:ligatures w14:val="none"/>
    </w:rPr>
  </w:style>
  <w:style w:type="paragraph" w:customStyle="1" w:styleId="CopyrightNoticeHeading">
    <w:name w:val="Copyright Notice Heading"/>
    <w:basedOn w:val="Normal"/>
    <w:rsid w:val="003853C5"/>
    <w:pPr>
      <w:pageBreakBefore/>
      <w:spacing w:before="120" w:after="120" w:line="312" w:lineRule="auto"/>
      <w:jc w:val="center"/>
    </w:pPr>
    <w:rPr>
      <w:b/>
      <w:caps/>
      <w:kern w:val="0"/>
      <w14:ligatures w14:val="none"/>
    </w:rPr>
  </w:style>
  <w:style w:type="character" w:styleId="SubtleEmphasis">
    <w:name w:val="Subtle Emphasis"/>
    <w:basedOn w:val="DefaultParagraphFont"/>
    <w:uiPriority w:val="19"/>
    <w:qFormat/>
    <w:rsid w:val="003853C5"/>
    <w:rPr>
      <w:i/>
      <w:iCs/>
      <w:color w:val="404040" w:themeColor="text1" w:themeTint="BF"/>
    </w:rPr>
  </w:style>
  <w:style w:type="character" w:styleId="FollowedHyperlink">
    <w:name w:val="FollowedHyperlink"/>
    <w:basedOn w:val="DefaultParagraphFont"/>
    <w:uiPriority w:val="99"/>
    <w:semiHidden/>
    <w:unhideWhenUsed/>
    <w:rsid w:val="003853C5"/>
    <w:rPr>
      <w:color w:val="954F72" w:themeColor="followedHyperlink"/>
      <w:u w:val="single"/>
    </w:rPr>
  </w:style>
  <w:style w:type="paragraph" w:styleId="TOC1">
    <w:name w:val="toc 1"/>
    <w:basedOn w:val="Normal"/>
    <w:next w:val="Normal"/>
    <w:autoRedefine/>
    <w:uiPriority w:val="39"/>
    <w:unhideWhenUsed/>
    <w:rsid w:val="007B44F0"/>
    <w:pPr>
      <w:tabs>
        <w:tab w:val="right" w:leader="dot" w:pos="935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1E5347"/>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E5347"/>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1E5347"/>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E5347"/>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E5347"/>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E5347"/>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E5347"/>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E5347"/>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FA79FE"/>
  </w:style>
  <w:style w:type="paragraph" w:styleId="CommentSubject">
    <w:name w:val="annotation subject"/>
    <w:basedOn w:val="CommentText"/>
    <w:next w:val="CommentText"/>
    <w:link w:val="CommentSubjectChar"/>
    <w:uiPriority w:val="99"/>
    <w:semiHidden/>
    <w:unhideWhenUsed/>
    <w:rsid w:val="00444B69"/>
    <w:pPr>
      <w:spacing w:before="0" w:after="0"/>
    </w:pPr>
    <w:rPr>
      <w:b/>
      <w:bCs/>
      <w:kern w:val="2"/>
      <w:sz w:val="20"/>
      <w:szCs w:val="20"/>
      <w14:ligatures w14:val="standardContextual"/>
    </w:rPr>
  </w:style>
  <w:style w:type="character" w:customStyle="1" w:styleId="CommentSubjectChar">
    <w:name w:val="Comment Subject Char"/>
    <w:basedOn w:val="CommentTextChar"/>
    <w:link w:val="CommentSubject"/>
    <w:uiPriority w:val="99"/>
    <w:semiHidden/>
    <w:rsid w:val="00444B69"/>
    <w:rPr>
      <w:rFonts w:ascii="Arial" w:hAnsi="Arial"/>
      <w:b/>
      <w:bCs/>
      <w:kern w:val="0"/>
      <w:sz w:val="20"/>
      <w:szCs w:val="20"/>
      <w14:ligatures w14:val="none"/>
    </w:rPr>
  </w:style>
  <w:style w:type="paragraph" w:styleId="NormalWeb">
    <w:name w:val="Normal (Web)"/>
    <w:basedOn w:val="Normal"/>
    <w:uiPriority w:val="99"/>
    <w:semiHidden/>
    <w:unhideWhenUsed/>
    <w:rsid w:val="00AF6E21"/>
    <w:pPr>
      <w:spacing w:before="100" w:beforeAutospacing="1" w:after="100" w:afterAutospacing="1"/>
    </w:pPr>
    <w:rPr>
      <w:rFonts w:ascii="Times New Roman" w:eastAsia="Times New Roman" w:hAnsi="Times New Roman" w:cs="Times New Roman"/>
      <w:kern w:val="0"/>
      <w:sz w:val="24"/>
      <w14:ligatures w14:val="none"/>
    </w:rPr>
  </w:style>
  <w:style w:type="paragraph" w:styleId="Caption">
    <w:name w:val="caption"/>
    <w:basedOn w:val="Normal"/>
    <w:next w:val="Normal"/>
    <w:uiPriority w:val="35"/>
    <w:unhideWhenUsed/>
    <w:qFormat/>
    <w:rsid w:val="007307C0"/>
    <w:pPr>
      <w:spacing w:after="200"/>
    </w:pPr>
    <w:rPr>
      <w:i/>
      <w:iCs/>
      <w:color w:val="2C3E50"/>
      <w:sz w:val="18"/>
      <w:szCs w:val="18"/>
    </w:rPr>
  </w:style>
  <w:style w:type="numbering" w:customStyle="1" w:styleId="CurrentList1">
    <w:name w:val="Current List1"/>
    <w:uiPriority w:val="99"/>
    <w:rsid w:val="001056EF"/>
    <w:pPr>
      <w:numPr>
        <w:numId w:val="14"/>
      </w:numPr>
    </w:pPr>
  </w:style>
  <w:style w:type="numbering" w:customStyle="1" w:styleId="CurrentList2">
    <w:name w:val="Current List2"/>
    <w:uiPriority w:val="99"/>
    <w:rsid w:val="001056EF"/>
    <w:pPr>
      <w:numPr>
        <w:numId w:val="15"/>
      </w:numPr>
    </w:pPr>
  </w:style>
  <w:style w:type="numbering" w:customStyle="1" w:styleId="CurrentList3">
    <w:name w:val="Current List3"/>
    <w:uiPriority w:val="99"/>
    <w:rsid w:val="001056EF"/>
    <w:pPr>
      <w:numPr>
        <w:numId w:val="16"/>
      </w:numPr>
    </w:pPr>
  </w:style>
  <w:style w:type="numbering" w:customStyle="1" w:styleId="CurrentList4">
    <w:name w:val="Current List4"/>
    <w:uiPriority w:val="99"/>
    <w:rsid w:val="001056EF"/>
    <w:pPr>
      <w:numPr>
        <w:numId w:val="17"/>
      </w:numPr>
    </w:pPr>
  </w:style>
  <w:style w:type="numbering" w:customStyle="1" w:styleId="CurrentList5">
    <w:name w:val="Current List5"/>
    <w:uiPriority w:val="99"/>
    <w:rsid w:val="001056EF"/>
    <w:pPr>
      <w:numPr>
        <w:numId w:val="18"/>
      </w:numPr>
    </w:pPr>
  </w:style>
  <w:style w:type="paragraph" w:customStyle="1" w:styleId="NOTEParagraph">
    <w:name w:val="NOTE Paragraph"/>
    <w:basedOn w:val="Normal"/>
    <w:next w:val="Normal"/>
    <w:qFormat/>
    <w:rsid w:val="001056EF"/>
    <w:pPr>
      <w:spacing w:after="180" w:line="288" w:lineRule="auto"/>
      <w:ind w:left="288" w:hanging="288"/>
    </w:pPr>
  </w:style>
  <w:style w:type="paragraph" w:styleId="TableofFigures">
    <w:name w:val="table of figures"/>
    <w:basedOn w:val="Normal"/>
    <w:next w:val="Normal"/>
    <w:uiPriority w:val="99"/>
    <w:unhideWhenUsed/>
    <w:rsid w:val="00564F90"/>
  </w:style>
  <w:style w:type="paragraph" w:styleId="Revision">
    <w:name w:val="Revision"/>
    <w:hidden/>
    <w:uiPriority w:val="99"/>
    <w:semiHidden/>
    <w:rsid w:val="006C281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12048">
      <w:bodyDiv w:val="1"/>
      <w:marLeft w:val="0"/>
      <w:marRight w:val="0"/>
      <w:marTop w:val="0"/>
      <w:marBottom w:val="0"/>
      <w:divBdr>
        <w:top w:val="none" w:sz="0" w:space="0" w:color="auto"/>
        <w:left w:val="none" w:sz="0" w:space="0" w:color="auto"/>
        <w:bottom w:val="none" w:sz="0" w:space="0" w:color="auto"/>
        <w:right w:val="none" w:sz="0" w:space="0" w:color="auto"/>
      </w:divBdr>
    </w:div>
    <w:div w:id="17213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ntarainitiative.org/" TargetMode="External"/><Relationship Id="rId18" Type="http://schemas.openxmlformats.org/officeDocument/2006/relationships/hyperlink" Target="https://www.iso.org/standard/70331.html" TargetMode="External"/><Relationship Id="rId26" Type="http://schemas.openxmlformats.org/officeDocument/2006/relationships/hyperlink" Target="https://kantara.atlassian.net/wiki/x/OADaNQ" TargetMode="External"/><Relationship Id="rId3" Type="http://schemas.openxmlformats.org/officeDocument/2006/relationships/styles" Target="styles.xml"/><Relationship Id="rId21" Type="http://schemas.openxmlformats.org/officeDocument/2006/relationships/hyperlink" Target="https://datatracker.ietf.org/wg/jose/abou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sa/3.0/" TargetMode="External"/><Relationship Id="rId17" Type="http://schemas.openxmlformats.org/officeDocument/2006/relationships/hyperlink" Target="https://kantarainitiative.org/reports-recommendations/" TargetMode="External"/><Relationship Id="rId25" Type="http://schemas.openxmlformats.org/officeDocument/2006/relationships/hyperlink" Target="https://datatracker.ietf.org/doc/rfc844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uroparl.europa.eu/meetdocs/2014_2019/plmrep/COMMITTEES/LIBE/DV/2018/09-10/Convention_108_EN.pdf"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iso.org/standard/69084.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kantarainitiative.org/workgroups/" TargetMode="External"/><Relationship Id="rId23" Type="http://schemas.openxmlformats.org/officeDocument/2006/relationships/hyperlink" Target="https://www.w3.org/TR/did-1.0/" TargetMode="External"/><Relationship Id="rId28" Type="http://schemas.openxmlformats.org/officeDocument/2006/relationships/header" Target="header1.xml"/><Relationship Id="rId10" Type="http://schemas.openxmlformats.org/officeDocument/2006/relationships/hyperlink" Target="https://kantara.atlassian.net/wiki/spaces/GI/pages/1081398/IPR+Options" TargetMode="External"/><Relationship Id="rId19" Type="http://schemas.openxmlformats.org/officeDocument/2006/relationships/hyperlink" Target="https://www.priv.gc.ca/en/about-the-opc/what-we-do/consultations/completed-consultations/consultation-on-online-reputation/submissions-received-for-the-consultation-on-online-reputation/or/sub_or_15/"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antarainitiative.org/work-groups/ancr/" TargetMode="External"/><Relationship Id="rId14" Type="http://schemas.openxmlformats.org/officeDocument/2006/relationships/hyperlink" Target="https://kantarainitiative.org/membership/" TargetMode="External"/><Relationship Id="rId22" Type="http://schemas.openxmlformats.org/officeDocument/2006/relationships/hyperlink" Target="https://www.rfc-editor.org/rfc/rfc8392.html" TargetMode="External"/><Relationship Id="rId27" Type="http://schemas.openxmlformats.org/officeDocument/2006/relationships/hyperlink" Target="https://webstore.iec.ch/en/publication/92295" TargetMode="External"/><Relationship Id="rId30" Type="http://schemas.openxmlformats.org/officeDocument/2006/relationships/footer" Target="footer2.xml"/><Relationship Id="rId35" Type="http://schemas.microsoft.com/office/2020/10/relationships/intelligence" Target="intelligence2.xml"/><Relationship Id="rId8" Type="http://schemas.openxmlformats.org/officeDocument/2006/relationships/hyperlink" Target="https://kantara.atlassian.net/wiki/spaces/GI/pages/1081775/All+Policies?preview=/1081775/1089145/KI%20Operating%20Procedures%20Version%203.0.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kantara.atlassian.net/wiki/spaces/GI/pages/1081398/IPR+Options" TargetMode="External"/><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kantara.atlassian.net/wiki/spaces/GI/pages/1081398/IPR+Options" TargetMode="External"/><Relationship Id="rId1" Type="http://schemas.openxmlformats.org/officeDocument/2006/relationships/hyperlink" Target="http://www.kantarainitiativ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00639-6F10-C147-91A3-84EC2B8A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8340</Words>
  <Characters>47541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Gay</dc:creator>
  <cp:keywords/>
  <dc:description/>
  <cp:lastModifiedBy>Mark Lizar</cp:lastModifiedBy>
  <cp:revision>2</cp:revision>
  <dcterms:created xsi:type="dcterms:W3CDTF">2025-05-13T22:05:00Z</dcterms:created>
  <dcterms:modified xsi:type="dcterms:W3CDTF">2025-05-13T22:05:00Z</dcterms:modified>
</cp:coreProperties>
</file>