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0A9B7" w14:textId="0211282D" w:rsidR="00157BFF" w:rsidRPr="00157BFF" w:rsidRDefault="00000000" w:rsidP="00157BFF">
      <w:pPr>
        <w:pStyle w:val="Heading1"/>
      </w:pPr>
      <w:r>
        <w:t xml:space="preserve">AI Transparency for PII Principal </w:t>
      </w:r>
    </w:p>
    <w:p w14:paraId="33769006" w14:textId="707EB23F" w:rsidR="001E2116" w:rsidRDefault="00426C70" w:rsidP="00F26D5F">
      <w:pPr>
        <w:spacing w:after="12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Privacy</w:t>
      </w:r>
      <w:r w:rsidR="00CA60A1">
        <w:rPr>
          <w:rFonts w:ascii="Times New Roman" w:eastAsia="Times New Roman" w:hAnsi="Times New Roman" w:cs="Times New Roman"/>
          <w:sz w:val="22"/>
          <w:szCs w:val="22"/>
        </w:rPr>
        <w:t xml:space="preserve"> risks to PII principal </w:t>
      </w:r>
      <w:r>
        <w:rPr>
          <w:rFonts w:ascii="Times New Roman" w:eastAsia="Times New Roman" w:hAnsi="Times New Roman" w:cs="Times New Roman"/>
          <w:sz w:val="22"/>
          <w:szCs w:val="22"/>
        </w:rPr>
        <w:t xml:space="preserve">increase when generative AI is used </w:t>
      </w:r>
      <w:r w:rsidR="00CB32F9">
        <w:rPr>
          <w:rFonts w:ascii="Times New Roman" w:eastAsia="Times New Roman" w:hAnsi="Times New Roman" w:cs="Times New Roman"/>
          <w:sz w:val="22"/>
          <w:szCs w:val="22"/>
        </w:rPr>
        <w:t xml:space="preserve">due to its capability to automatically process information in relation to the LLM. </w:t>
      </w:r>
      <w:r w:rsidR="00F5616A">
        <w:rPr>
          <w:rFonts w:ascii="Times New Roman" w:eastAsia="Times New Roman" w:hAnsi="Times New Roman" w:cs="Times New Roman"/>
          <w:sz w:val="22"/>
          <w:szCs w:val="22"/>
        </w:rPr>
        <w:t xml:space="preserve"> As a result, generative </w:t>
      </w:r>
      <w:proofErr w:type="gramStart"/>
      <w:r w:rsidR="00F5616A">
        <w:rPr>
          <w:rFonts w:ascii="Times New Roman" w:eastAsia="Times New Roman" w:hAnsi="Times New Roman" w:cs="Times New Roman"/>
          <w:sz w:val="22"/>
          <w:szCs w:val="22"/>
        </w:rPr>
        <w:t xml:space="preserve">AI </w:t>
      </w:r>
      <w:r>
        <w:rPr>
          <w:rFonts w:ascii="Times New Roman" w:eastAsia="Times New Roman" w:hAnsi="Times New Roman" w:cs="Times New Roman"/>
          <w:sz w:val="22"/>
          <w:szCs w:val="22"/>
        </w:rPr>
        <w:t xml:space="preserve"> it</w:t>
      </w:r>
      <w:proofErr w:type="gramEnd"/>
      <w:r>
        <w:rPr>
          <w:rFonts w:ascii="Times New Roman" w:eastAsia="Times New Roman" w:hAnsi="Times New Roman" w:cs="Times New Roman"/>
          <w:sz w:val="22"/>
          <w:szCs w:val="22"/>
        </w:rPr>
        <w:t xml:space="preserve"> is able to profile </w:t>
      </w:r>
      <w:r w:rsidR="00711694">
        <w:rPr>
          <w:rFonts w:ascii="Times New Roman" w:eastAsia="Times New Roman" w:hAnsi="Times New Roman" w:cs="Times New Roman"/>
          <w:sz w:val="22"/>
          <w:szCs w:val="22"/>
        </w:rPr>
        <w:t>PII</w:t>
      </w:r>
      <w:r>
        <w:rPr>
          <w:rFonts w:ascii="Times New Roman" w:eastAsia="Times New Roman" w:hAnsi="Times New Roman" w:cs="Times New Roman"/>
          <w:sz w:val="22"/>
          <w:szCs w:val="22"/>
        </w:rPr>
        <w:t xml:space="preserve"> automatically, at scale, provid</w:t>
      </w:r>
      <w:r w:rsidR="001E2116">
        <w:rPr>
          <w:rFonts w:ascii="Times New Roman" w:eastAsia="Times New Roman" w:hAnsi="Times New Roman" w:cs="Times New Roman"/>
          <w:sz w:val="22"/>
          <w:szCs w:val="22"/>
        </w:rPr>
        <w:t>ing</w:t>
      </w:r>
      <w:r>
        <w:rPr>
          <w:rFonts w:ascii="Times New Roman" w:eastAsia="Times New Roman" w:hAnsi="Times New Roman" w:cs="Times New Roman"/>
          <w:sz w:val="22"/>
          <w:szCs w:val="22"/>
        </w:rPr>
        <w:t xml:space="preserve"> comprehensive </w:t>
      </w:r>
      <w:r w:rsidR="001E2116">
        <w:rPr>
          <w:rFonts w:ascii="Times New Roman" w:eastAsia="Times New Roman" w:hAnsi="Times New Roman" w:cs="Times New Roman"/>
          <w:sz w:val="22"/>
          <w:szCs w:val="22"/>
        </w:rPr>
        <w:t xml:space="preserve">profiling and </w:t>
      </w:r>
      <w:r>
        <w:rPr>
          <w:rFonts w:ascii="Times New Roman" w:eastAsia="Times New Roman" w:hAnsi="Times New Roman" w:cs="Times New Roman"/>
          <w:sz w:val="22"/>
          <w:szCs w:val="22"/>
        </w:rPr>
        <w:t xml:space="preserve">surveillance capacities, </w:t>
      </w:r>
      <w:r w:rsidR="001E2116">
        <w:rPr>
          <w:rFonts w:ascii="Times New Roman" w:eastAsia="Times New Roman" w:hAnsi="Times New Roman" w:cs="Times New Roman"/>
          <w:sz w:val="22"/>
          <w:szCs w:val="22"/>
        </w:rPr>
        <w:t>in accordance with the</w:t>
      </w:r>
      <w:r>
        <w:rPr>
          <w:rFonts w:ascii="Times New Roman" w:eastAsia="Times New Roman" w:hAnsi="Times New Roman" w:cs="Times New Roman"/>
          <w:sz w:val="22"/>
          <w:szCs w:val="22"/>
        </w:rPr>
        <w:t xml:space="preserve"> data sources</w:t>
      </w:r>
      <w:r w:rsidR="001E2116">
        <w:rPr>
          <w:rFonts w:ascii="Times New Roman" w:eastAsia="Times New Roman" w:hAnsi="Times New Roman" w:cs="Times New Roman"/>
          <w:sz w:val="22"/>
          <w:szCs w:val="22"/>
        </w:rPr>
        <w:t>, which include sources of data not</w:t>
      </w:r>
      <w:r>
        <w:rPr>
          <w:rFonts w:ascii="Times New Roman" w:eastAsia="Times New Roman" w:hAnsi="Times New Roman" w:cs="Times New Roman"/>
          <w:sz w:val="22"/>
          <w:szCs w:val="22"/>
        </w:rPr>
        <w:t xml:space="preserve"> available in the physical context.    </w:t>
      </w:r>
    </w:p>
    <w:p w14:paraId="186C38F5" w14:textId="40E4CE14" w:rsidR="00F50C63" w:rsidRDefault="00F50C63" w:rsidP="00F26D5F">
      <w:pPr>
        <w:spacing w:after="12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Transparency for PII principal must signal if the authoritative source of LLM data and its providences. If </w:t>
      </w:r>
      <w:proofErr w:type="gramStart"/>
      <w:r>
        <w:rPr>
          <w:rFonts w:ascii="Times New Roman" w:eastAsia="Times New Roman" w:hAnsi="Times New Roman" w:cs="Times New Roman"/>
          <w:sz w:val="22"/>
          <w:szCs w:val="22"/>
        </w:rPr>
        <w:t>it  is</w:t>
      </w:r>
      <w:proofErr w:type="gramEnd"/>
      <w:r>
        <w:rPr>
          <w:rFonts w:ascii="Times New Roman" w:eastAsia="Times New Roman" w:hAnsi="Times New Roman" w:cs="Times New Roman"/>
          <w:sz w:val="22"/>
          <w:szCs w:val="22"/>
        </w:rPr>
        <w:t xml:space="preserve">  bound to the physical context and purpose of use, the </w:t>
      </w:r>
      <w:r w:rsidR="00711694">
        <w:rPr>
          <w:rFonts w:ascii="Times New Roman" w:eastAsia="Times New Roman" w:hAnsi="Times New Roman" w:cs="Times New Roman"/>
          <w:sz w:val="22"/>
          <w:szCs w:val="22"/>
        </w:rPr>
        <w:t>PII</w:t>
      </w:r>
      <w:r>
        <w:rPr>
          <w:rFonts w:ascii="Times New Roman" w:eastAsia="Times New Roman" w:hAnsi="Times New Roman" w:cs="Times New Roman"/>
          <w:sz w:val="22"/>
          <w:szCs w:val="22"/>
        </w:rPr>
        <w:t xml:space="preserve"> principal, then the AI application, has a dramatically reduces risk.  If source of the LLM data, and associated PII is not bound to purpose of use and the PII principals physical scope of disclosure, this risk is mitigated with proportionate and reciprocal</w:t>
      </w:r>
      <w:r w:rsidR="00711694">
        <w:rPr>
          <w:rFonts w:ascii="Times New Roman" w:eastAsia="Times New Roman" w:hAnsi="Times New Roman" w:cs="Times New Roman"/>
          <w:sz w:val="22"/>
          <w:szCs w:val="22"/>
        </w:rPr>
        <w:t xml:space="preserve"> </w:t>
      </w:r>
      <w:proofErr w:type="gramStart"/>
      <w:r w:rsidR="00711694">
        <w:rPr>
          <w:rFonts w:ascii="Times New Roman" w:eastAsia="Times New Roman" w:hAnsi="Times New Roman" w:cs="Times New Roman"/>
          <w:sz w:val="22"/>
          <w:szCs w:val="22"/>
        </w:rPr>
        <w:t>for</w:t>
      </w:r>
      <w:r>
        <w:rPr>
          <w:rFonts w:ascii="Times New Roman" w:eastAsia="Times New Roman" w:hAnsi="Times New Roman" w:cs="Times New Roman"/>
          <w:sz w:val="22"/>
          <w:szCs w:val="22"/>
        </w:rPr>
        <w:t xml:space="preserve">  </w:t>
      </w:r>
      <w:r w:rsidR="00711694">
        <w:rPr>
          <w:rFonts w:ascii="Times New Roman" w:eastAsia="Times New Roman" w:hAnsi="Times New Roman" w:cs="Times New Roman"/>
          <w:sz w:val="22"/>
          <w:szCs w:val="22"/>
        </w:rPr>
        <w:t>PII</w:t>
      </w:r>
      <w:proofErr w:type="gramEnd"/>
      <w:r>
        <w:rPr>
          <w:rFonts w:ascii="Times New Roman" w:eastAsia="Times New Roman" w:hAnsi="Times New Roman" w:cs="Times New Roman"/>
          <w:sz w:val="22"/>
          <w:szCs w:val="22"/>
        </w:rPr>
        <w:t xml:space="preserve"> principal transparency</w:t>
      </w:r>
      <w:r w:rsidR="00711694">
        <w:rPr>
          <w:rFonts w:ascii="Times New Roman" w:eastAsia="Times New Roman" w:hAnsi="Times New Roman" w:cs="Times New Roman"/>
          <w:sz w:val="22"/>
          <w:szCs w:val="22"/>
        </w:rPr>
        <w:t xml:space="preserve"> to be effective.</w:t>
      </w:r>
    </w:p>
    <w:p w14:paraId="44EC36F1" w14:textId="78BA2DAE" w:rsidR="001E76EA" w:rsidRDefault="001E76EA" w:rsidP="001E76EA">
      <w:pPr>
        <w:spacing w:after="12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Transparency of gen</w:t>
      </w:r>
      <w:r w:rsidR="00711694">
        <w:rPr>
          <w:rFonts w:ascii="Times New Roman" w:eastAsia="Times New Roman" w:hAnsi="Times New Roman" w:cs="Times New Roman"/>
          <w:color w:val="000000"/>
          <w:sz w:val="22"/>
          <w:szCs w:val="22"/>
        </w:rPr>
        <w:t>erative</w:t>
      </w:r>
      <w:r>
        <w:rPr>
          <w:rFonts w:ascii="Times New Roman" w:eastAsia="Times New Roman" w:hAnsi="Times New Roman" w:cs="Times New Roman"/>
          <w:color w:val="000000"/>
          <w:sz w:val="22"/>
          <w:szCs w:val="22"/>
        </w:rPr>
        <w:t xml:space="preserve"> AI application for PII Principal not only requires complying with current compulsory security and privacy notice obligations for the collection and processing of </w:t>
      </w:r>
      <w:proofErr w:type="spellStart"/>
      <w:r>
        <w:rPr>
          <w:rFonts w:ascii="Times New Roman" w:eastAsia="Times New Roman" w:hAnsi="Times New Roman" w:cs="Times New Roman"/>
          <w:color w:val="000000"/>
          <w:sz w:val="22"/>
          <w:szCs w:val="22"/>
        </w:rPr>
        <w:t>PIl</w:t>
      </w:r>
      <w:proofErr w:type="spellEnd"/>
      <w:r>
        <w:rPr>
          <w:rFonts w:ascii="Times New Roman" w:eastAsia="Times New Roman" w:hAnsi="Times New Roman" w:cs="Times New Roman"/>
          <w:color w:val="000000"/>
          <w:sz w:val="22"/>
          <w:szCs w:val="22"/>
        </w:rPr>
        <w:t xml:space="preserve">, </w:t>
      </w:r>
      <w:proofErr w:type="gramStart"/>
      <w:r>
        <w:rPr>
          <w:rFonts w:ascii="Times New Roman" w:eastAsia="Times New Roman" w:hAnsi="Times New Roman" w:cs="Times New Roman"/>
          <w:color w:val="000000"/>
          <w:sz w:val="22"/>
          <w:szCs w:val="22"/>
        </w:rPr>
        <w:t>generative AI</w:t>
      </w:r>
      <w:proofErr w:type="gramEnd"/>
      <w:r>
        <w:rPr>
          <w:rFonts w:ascii="Times New Roman" w:eastAsia="Times New Roman" w:hAnsi="Times New Roman" w:cs="Times New Roman"/>
          <w:color w:val="000000"/>
          <w:sz w:val="22"/>
          <w:szCs w:val="22"/>
        </w:rPr>
        <w:t xml:space="preserve"> introduces new transparency modalities, which are required,  </w:t>
      </w:r>
    </w:p>
    <w:p w14:paraId="35049E28" w14:textId="77777777" w:rsidR="001E76EA" w:rsidRDefault="001E76EA" w:rsidP="001E76EA">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traceability, </w:t>
      </w:r>
    </w:p>
    <w:p w14:paraId="0D343FDF" w14:textId="77777777" w:rsidR="001E76EA" w:rsidRDefault="001E76EA" w:rsidP="001E76EA">
      <w:pPr>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explainability, </w:t>
      </w:r>
    </w:p>
    <w:p w14:paraId="33043EDB" w14:textId="280B62C3" w:rsidR="001E76EA" w:rsidRPr="001E76EA" w:rsidRDefault="001E76EA" w:rsidP="00F26D5F">
      <w:pPr>
        <w:numPr>
          <w:ilvl w:val="1"/>
          <w:numId w:val="1"/>
        </w:numPr>
        <w:pBdr>
          <w:top w:val="nil"/>
          <w:left w:val="nil"/>
          <w:bottom w:val="nil"/>
          <w:right w:val="nil"/>
          <w:between w:val="nil"/>
        </w:pBdr>
        <w:spacing w:after="120"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interpretability,</w:t>
      </w:r>
      <w:r>
        <w:rPr>
          <w:rFonts w:ascii="Times New Roman" w:eastAsia="Times New Roman" w:hAnsi="Times New Roman" w:cs="Times New Roman"/>
          <w:color w:val="000000"/>
          <w:sz w:val="22"/>
          <w:szCs w:val="22"/>
          <w:vertAlign w:val="superscript"/>
        </w:rPr>
        <w:footnoteReference w:id="1"/>
      </w:r>
    </w:p>
    <w:p w14:paraId="24A3AE33" w14:textId="67F171D0" w:rsidR="00711694" w:rsidRDefault="00711694" w:rsidP="006B1BF2">
      <w:pPr>
        <w:spacing w:after="120" w:line="240" w:lineRule="auto"/>
        <w:rPr>
          <w:rFonts w:ascii="Times New Roman" w:eastAsia="Times New Roman" w:hAnsi="Times New Roman" w:cs="Times New Roman"/>
          <w:sz w:val="22"/>
          <w:szCs w:val="22"/>
        </w:rPr>
      </w:pPr>
      <w:r w:rsidRPr="00711694">
        <w:rPr>
          <w:rFonts w:ascii="Times New Roman" w:eastAsia="Times New Roman" w:hAnsi="Times New Roman" w:cs="Times New Roman"/>
          <w:color w:val="000000"/>
          <w:sz w:val="22"/>
          <w:szCs w:val="22"/>
        </w:rPr>
        <w:t xml:space="preserve">The use of </w:t>
      </w:r>
      <w:r>
        <w:rPr>
          <w:rFonts w:ascii="Times New Roman" w:eastAsia="Times New Roman" w:hAnsi="Times New Roman" w:cs="Times New Roman"/>
          <w:color w:val="000000"/>
          <w:sz w:val="22"/>
          <w:szCs w:val="22"/>
        </w:rPr>
        <w:t>standard record format, for notice of ai, in addition to commonly used</w:t>
      </w:r>
      <w:r w:rsidRPr="00711694">
        <w:rPr>
          <w:rFonts w:ascii="Times New Roman" w:eastAsia="Times New Roman" w:hAnsi="Times New Roman" w:cs="Times New Roman"/>
          <w:color w:val="000000"/>
          <w:sz w:val="22"/>
          <w:szCs w:val="22"/>
        </w:rPr>
        <w:t xml:space="preserve"> ‘AI model cards’ and ‘AI </w:t>
      </w:r>
      <w:r w:rsidRPr="00711694">
        <w:rPr>
          <w:rFonts w:ascii="Times New Roman" w:eastAsia="Times New Roman" w:hAnsi="Times New Roman" w:cs="Times New Roman"/>
          <w:sz w:val="22"/>
          <w:szCs w:val="22"/>
        </w:rPr>
        <w:t>Datasheet</w:t>
      </w:r>
      <w:r>
        <w:rPr>
          <w:rFonts w:ascii="Times New Roman" w:eastAsia="Times New Roman" w:hAnsi="Times New Roman" w:cs="Times New Roman"/>
          <w:sz w:val="22"/>
          <w:szCs w:val="22"/>
        </w:rPr>
        <w:t>,</w:t>
      </w:r>
      <w:r w:rsidRPr="00711694">
        <w:rPr>
          <w:rFonts w:ascii="Times New Roman" w:eastAsia="Times New Roman" w:hAnsi="Times New Roman" w:cs="Times New Roman"/>
          <w:sz w:val="22"/>
          <w:szCs w:val="22"/>
        </w:rPr>
        <w:t xml:space="preserve"> specified in </w:t>
      </w:r>
      <w:r>
        <w:rPr>
          <w:rFonts w:ascii="Times New Roman" w:eastAsia="Times New Roman" w:hAnsi="Times New Roman" w:cs="Times New Roman"/>
          <w:sz w:val="22"/>
          <w:szCs w:val="22"/>
        </w:rPr>
        <w:t xml:space="preserve">conjunction </w:t>
      </w:r>
      <w:r w:rsidRPr="00711694">
        <w:rPr>
          <w:rFonts w:ascii="Times New Roman" w:eastAsia="Times New Roman" w:hAnsi="Times New Roman" w:cs="Times New Roman"/>
          <w:sz w:val="22"/>
          <w:szCs w:val="22"/>
        </w:rPr>
        <w:t xml:space="preserve">with </w:t>
      </w:r>
      <w:r>
        <w:rPr>
          <w:rFonts w:ascii="Times New Roman" w:eastAsia="Times New Roman" w:hAnsi="Times New Roman" w:cs="Times New Roman"/>
          <w:sz w:val="22"/>
          <w:szCs w:val="22"/>
        </w:rPr>
        <w:t xml:space="preserve">ISO/IEC </w:t>
      </w:r>
      <w:r w:rsidRPr="00711694">
        <w:rPr>
          <w:rFonts w:ascii="Times New Roman" w:eastAsia="Times New Roman" w:hAnsi="Times New Roman" w:cs="Times New Roman"/>
          <w:sz w:val="22"/>
          <w:szCs w:val="22"/>
        </w:rPr>
        <w:t xml:space="preserve">27560 </w:t>
      </w:r>
      <w:r>
        <w:rPr>
          <w:rFonts w:ascii="Times New Roman" w:eastAsia="Times New Roman" w:hAnsi="Times New Roman" w:cs="Times New Roman"/>
          <w:sz w:val="22"/>
          <w:szCs w:val="22"/>
        </w:rPr>
        <w:t xml:space="preserve">consent record information structure and standard data privacy vocabulary, proportionately reduce the cognitive transparency risks of using AI for PII principals. </w:t>
      </w:r>
    </w:p>
    <w:p w14:paraId="382941D5" w14:textId="20C79B75" w:rsidR="006B1BF2" w:rsidRDefault="006B1BF2" w:rsidP="006B1BF2">
      <w:pPr>
        <w:spacing w:after="12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Notice, notification, or disclosure obligations should be provided prior to processing PII o mitigate, security and privacy risks in the use of AI by the PII principal, a record of this notice, and a receipt provided for the data input should be consider best practice to achieve these new requirements</w:t>
      </w:r>
      <w:r w:rsidR="00711694">
        <w:rPr>
          <w:rFonts w:ascii="Times New Roman" w:eastAsia="Times New Roman" w:hAnsi="Times New Roman" w:cs="Times New Roman"/>
          <w:sz w:val="22"/>
          <w:szCs w:val="22"/>
        </w:rPr>
        <w:t>.</w:t>
      </w:r>
    </w:p>
    <w:p w14:paraId="6C913F46" w14:textId="79C40143" w:rsidR="006B1BF2" w:rsidRDefault="006B1BF2" w:rsidP="006B1BF2">
      <w:pPr>
        <w:spacing w:after="120" w:line="240"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It </w:t>
      </w:r>
      <w:r w:rsidR="00711694">
        <w:rPr>
          <w:rFonts w:ascii="Times New Roman" w:eastAsia="Times New Roman" w:hAnsi="Times New Roman" w:cs="Times New Roman"/>
          <w:sz w:val="22"/>
          <w:szCs w:val="22"/>
        </w:rPr>
        <w:t>must</w:t>
      </w:r>
      <w:r>
        <w:rPr>
          <w:rFonts w:ascii="Times New Roman" w:eastAsia="Times New Roman" w:hAnsi="Times New Roman" w:cs="Times New Roman"/>
          <w:sz w:val="22"/>
          <w:szCs w:val="22"/>
        </w:rPr>
        <w:t xml:space="preserve"> be clear </w:t>
      </w:r>
      <w:r w:rsidR="00711694">
        <w:rPr>
          <w:rFonts w:ascii="Times New Roman" w:eastAsia="Times New Roman" w:hAnsi="Times New Roman" w:cs="Times New Roman"/>
          <w:sz w:val="22"/>
          <w:szCs w:val="22"/>
        </w:rPr>
        <w:t xml:space="preserve">to the PII principal, </w:t>
      </w:r>
      <w:r>
        <w:rPr>
          <w:rFonts w:ascii="Times New Roman" w:eastAsia="Times New Roman" w:hAnsi="Times New Roman" w:cs="Times New Roman"/>
          <w:sz w:val="22"/>
          <w:szCs w:val="22"/>
        </w:rPr>
        <w:t xml:space="preserve">that PII Controllers, are accountable for the use of AI applications and should not rely on a privacy policy for transparency, as this is not proportionate, be clear about scope of disclosure and evidence a record of consent for a secondary purpose of use. </w:t>
      </w:r>
    </w:p>
    <w:p w14:paraId="07071A65" w14:textId="61B5990D" w:rsidR="000C5764" w:rsidRDefault="006B1BF2" w:rsidP="00711694">
      <w:pPr>
        <w:spacing w:after="120" w:line="240" w:lineRule="auto"/>
        <w:rPr>
          <w:color w:val="000000"/>
        </w:rPr>
      </w:pPr>
      <w:r>
        <w:rPr>
          <w:rFonts w:ascii="Times New Roman" w:eastAsia="Times New Roman" w:hAnsi="Times New Roman" w:cs="Times New Roman"/>
          <w:sz w:val="22"/>
          <w:szCs w:val="22"/>
        </w:rPr>
        <w:t xml:space="preserve">Security and privacy risks can be systematically addressed with a notice </w:t>
      </w:r>
      <w:r w:rsidR="00F50C63">
        <w:rPr>
          <w:rFonts w:ascii="Times New Roman" w:eastAsia="Times New Roman" w:hAnsi="Times New Roman" w:cs="Times New Roman"/>
          <w:sz w:val="22"/>
          <w:szCs w:val="22"/>
        </w:rPr>
        <w:t>record</w:t>
      </w:r>
      <w:r>
        <w:rPr>
          <w:rFonts w:ascii="Times New Roman" w:eastAsia="Times New Roman" w:hAnsi="Times New Roman" w:cs="Times New Roman"/>
          <w:sz w:val="22"/>
          <w:szCs w:val="22"/>
        </w:rPr>
        <w:t>, generated</w:t>
      </w:r>
      <w:r w:rsidR="00F50C63">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when AI transparency notice was presented. Liability of gen</w:t>
      </w:r>
      <w:r w:rsidR="00711694">
        <w:rPr>
          <w:rFonts w:ascii="Times New Roman" w:eastAsia="Times New Roman" w:hAnsi="Times New Roman" w:cs="Times New Roman"/>
          <w:sz w:val="22"/>
          <w:szCs w:val="22"/>
        </w:rPr>
        <w:t xml:space="preserve">erative </w:t>
      </w:r>
      <w:r>
        <w:rPr>
          <w:rFonts w:ascii="Times New Roman" w:eastAsia="Times New Roman" w:hAnsi="Times New Roman" w:cs="Times New Roman"/>
          <w:sz w:val="22"/>
          <w:szCs w:val="22"/>
        </w:rPr>
        <w:t>AI risk</w:t>
      </w:r>
      <w:r w:rsidR="00711694">
        <w:rPr>
          <w:rFonts w:ascii="Times New Roman" w:eastAsia="Times New Roman" w:hAnsi="Times New Roman" w:cs="Times New Roman"/>
          <w:sz w:val="22"/>
          <w:szCs w:val="22"/>
        </w:rPr>
        <w:t>s</w:t>
      </w:r>
      <w:r>
        <w:rPr>
          <w:rFonts w:ascii="Times New Roman" w:eastAsia="Times New Roman" w:hAnsi="Times New Roman" w:cs="Times New Roman"/>
          <w:sz w:val="22"/>
          <w:szCs w:val="22"/>
        </w:rPr>
        <w:t xml:space="preserve"> can be further mitigated by transferring some of the liability for the AI application by providing the </w:t>
      </w:r>
      <w:r w:rsidR="00711694">
        <w:rPr>
          <w:rFonts w:ascii="Times New Roman" w:eastAsia="Times New Roman" w:hAnsi="Times New Roman" w:cs="Times New Roman"/>
          <w:sz w:val="22"/>
          <w:szCs w:val="22"/>
        </w:rPr>
        <w:t>PII</w:t>
      </w:r>
      <w:r>
        <w:rPr>
          <w:rFonts w:ascii="Times New Roman" w:eastAsia="Times New Roman" w:hAnsi="Times New Roman" w:cs="Times New Roman"/>
          <w:sz w:val="22"/>
          <w:szCs w:val="22"/>
        </w:rPr>
        <w:t xml:space="preserve"> principal </w:t>
      </w:r>
      <w:proofErr w:type="gramStart"/>
      <w:r>
        <w:rPr>
          <w:rFonts w:ascii="Times New Roman" w:eastAsia="Times New Roman" w:hAnsi="Times New Roman" w:cs="Times New Roman"/>
          <w:sz w:val="22"/>
          <w:szCs w:val="22"/>
        </w:rPr>
        <w:t>with  a</w:t>
      </w:r>
      <w:proofErr w:type="gramEnd"/>
      <w:r>
        <w:rPr>
          <w:rFonts w:ascii="Times New Roman" w:eastAsia="Times New Roman" w:hAnsi="Times New Roman" w:cs="Times New Roman"/>
          <w:sz w:val="22"/>
          <w:szCs w:val="22"/>
        </w:rPr>
        <w:t xml:space="preserve"> notice and consent receipt.  </w:t>
      </w:r>
      <w:r w:rsidR="00711694">
        <w:rPr>
          <w:rFonts w:ascii="Times New Roman" w:eastAsia="Times New Roman" w:hAnsi="Times New Roman" w:cs="Times New Roman"/>
          <w:sz w:val="22"/>
          <w:szCs w:val="22"/>
        </w:rPr>
        <w:t>Providing</w:t>
      </w:r>
      <w:r w:rsidR="00F50C63">
        <w:rPr>
          <w:rFonts w:ascii="Times New Roman" w:eastAsia="Times New Roman" w:hAnsi="Times New Roman" w:cs="Times New Roman"/>
          <w:sz w:val="22"/>
          <w:szCs w:val="22"/>
        </w:rPr>
        <w:t xml:space="preserve"> the ability for the </w:t>
      </w:r>
      <w:r w:rsidR="00711694">
        <w:rPr>
          <w:rFonts w:ascii="Times New Roman" w:eastAsia="Times New Roman" w:hAnsi="Times New Roman" w:cs="Times New Roman"/>
          <w:sz w:val="22"/>
          <w:szCs w:val="22"/>
        </w:rPr>
        <w:t>PII</w:t>
      </w:r>
      <w:r w:rsidR="00F50C63">
        <w:rPr>
          <w:rFonts w:ascii="Times New Roman" w:eastAsia="Times New Roman" w:hAnsi="Times New Roman" w:cs="Times New Roman"/>
          <w:sz w:val="22"/>
          <w:szCs w:val="22"/>
        </w:rPr>
        <w:t xml:space="preserve"> principal to exercise right and manage risk autonomously,</w:t>
      </w:r>
      <w:r>
        <w:rPr>
          <w:rFonts w:ascii="Times New Roman" w:eastAsia="Times New Roman" w:hAnsi="Times New Roman" w:cs="Times New Roman"/>
          <w:sz w:val="22"/>
          <w:szCs w:val="22"/>
        </w:rPr>
        <w:t xml:space="preserve"> decentralising data governance,</w:t>
      </w:r>
      <w:r w:rsidR="00F50C63">
        <w:rPr>
          <w:rFonts w:ascii="Times New Roman" w:eastAsia="Times New Roman" w:hAnsi="Times New Roman" w:cs="Times New Roman"/>
          <w:sz w:val="22"/>
          <w:szCs w:val="22"/>
        </w:rPr>
        <w:t xml:space="preserve"> through </w:t>
      </w:r>
      <w:r>
        <w:rPr>
          <w:rFonts w:ascii="Times New Roman" w:eastAsia="Times New Roman" w:hAnsi="Times New Roman" w:cs="Times New Roman"/>
          <w:sz w:val="22"/>
          <w:szCs w:val="22"/>
        </w:rPr>
        <w:t xml:space="preserve">standard </w:t>
      </w:r>
      <w:r w:rsidR="00711694">
        <w:rPr>
          <w:rFonts w:ascii="Times New Roman" w:eastAsia="Times New Roman" w:hAnsi="Times New Roman" w:cs="Times New Roman"/>
          <w:sz w:val="22"/>
          <w:szCs w:val="22"/>
        </w:rPr>
        <w:t>records</w:t>
      </w:r>
      <w:r>
        <w:rPr>
          <w:rFonts w:ascii="Times New Roman" w:eastAsia="Times New Roman" w:hAnsi="Times New Roman" w:cs="Times New Roman"/>
          <w:sz w:val="22"/>
          <w:szCs w:val="22"/>
        </w:rPr>
        <w:t xml:space="preserve"> for </w:t>
      </w:r>
      <w:r w:rsidR="00F50C63">
        <w:rPr>
          <w:rFonts w:ascii="Times New Roman" w:eastAsia="Times New Roman" w:hAnsi="Times New Roman" w:cs="Times New Roman"/>
          <w:sz w:val="22"/>
          <w:szCs w:val="22"/>
        </w:rPr>
        <w:t xml:space="preserve">traceability, AI assisted </w:t>
      </w:r>
      <w:r>
        <w:rPr>
          <w:rFonts w:ascii="Times New Roman" w:eastAsia="Times New Roman" w:hAnsi="Times New Roman" w:cs="Times New Roman"/>
          <w:sz w:val="22"/>
          <w:szCs w:val="22"/>
        </w:rPr>
        <w:t>explainability</w:t>
      </w:r>
      <w:r w:rsidR="00F50C63">
        <w:rPr>
          <w:rFonts w:ascii="Times New Roman" w:eastAsia="Times New Roman" w:hAnsi="Times New Roman" w:cs="Times New Roman"/>
          <w:sz w:val="22"/>
          <w:szCs w:val="22"/>
        </w:rPr>
        <w:t>, and interpretability</w:t>
      </w:r>
      <w:r>
        <w:rPr>
          <w:rFonts w:ascii="Times New Roman" w:eastAsia="Times New Roman" w:hAnsi="Times New Roman" w:cs="Times New Roman"/>
          <w:sz w:val="22"/>
          <w:szCs w:val="22"/>
        </w:rPr>
        <w:t>,</w:t>
      </w:r>
      <w:r w:rsidR="00F50C63">
        <w:rPr>
          <w:rFonts w:ascii="Times New Roman" w:eastAsia="Times New Roman" w:hAnsi="Times New Roman" w:cs="Times New Roman"/>
          <w:sz w:val="22"/>
          <w:szCs w:val="22"/>
        </w:rPr>
        <w:t xml:space="preserve"> in accordance with the </w:t>
      </w:r>
      <w:r w:rsidR="00711694">
        <w:rPr>
          <w:rFonts w:ascii="Times New Roman" w:eastAsia="Times New Roman" w:hAnsi="Times New Roman" w:cs="Times New Roman"/>
          <w:sz w:val="22"/>
          <w:szCs w:val="22"/>
        </w:rPr>
        <w:t xml:space="preserve">purpose of PII processing, and its </w:t>
      </w:r>
      <w:r w:rsidR="00F50C63">
        <w:rPr>
          <w:rFonts w:ascii="Times New Roman" w:eastAsia="Times New Roman" w:hAnsi="Times New Roman" w:cs="Times New Roman"/>
          <w:sz w:val="22"/>
          <w:szCs w:val="22"/>
        </w:rPr>
        <w:t>context of use</w:t>
      </w:r>
      <w:r w:rsidR="00711694">
        <w:rPr>
          <w:rFonts w:ascii="Times New Roman" w:eastAsia="Times New Roman" w:hAnsi="Times New Roman" w:cs="Times New Roman"/>
          <w:sz w:val="22"/>
          <w:szCs w:val="22"/>
        </w:rPr>
        <w:t xml:space="preserve">, which naturally regulate data </w:t>
      </w:r>
      <w:proofErr w:type="gramStart"/>
      <w:r w:rsidR="00711694">
        <w:rPr>
          <w:rFonts w:ascii="Times New Roman" w:eastAsia="Times New Roman" w:hAnsi="Times New Roman" w:cs="Times New Roman"/>
          <w:sz w:val="22"/>
          <w:szCs w:val="22"/>
        </w:rPr>
        <w:t>governance</w:t>
      </w:r>
      <w:r w:rsidR="00F50C63">
        <w:rPr>
          <w:rFonts w:ascii="Times New Roman" w:eastAsia="Times New Roman" w:hAnsi="Times New Roman" w:cs="Times New Roman"/>
          <w:sz w:val="22"/>
          <w:szCs w:val="22"/>
        </w:rPr>
        <w:t>.</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rPr>
        <w:t xml:space="preserve"> </w:t>
      </w:r>
    </w:p>
    <w:sectPr w:rsidR="000C576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5780F" w14:textId="77777777" w:rsidR="0089413C" w:rsidRDefault="0089413C">
      <w:pPr>
        <w:spacing w:after="0" w:line="240" w:lineRule="auto"/>
      </w:pPr>
      <w:r>
        <w:separator/>
      </w:r>
    </w:p>
  </w:endnote>
  <w:endnote w:type="continuationSeparator" w:id="0">
    <w:p w14:paraId="491BBA44" w14:textId="77777777" w:rsidR="0089413C" w:rsidRDefault="00894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393B69D8-9B03-4444-B1D7-999E623C7D0D}"/>
  </w:font>
  <w:font w:name="Courier New">
    <w:panose1 w:val="02070309020205020404"/>
    <w:charset w:val="00"/>
    <w:family w:val="modern"/>
    <w:pitch w:val="fixed"/>
    <w:sig w:usb0="E0002EFF" w:usb1="C0007843" w:usb2="00000009" w:usb3="00000000" w:csb0="000001FF" w:csb1="00000000"/>
    <w:embedRegular r:id="rId2" w:fontKey="{280E0548-1496-D749-81BB-CB9D74C8E8FC}"/>
  </w:font>
  <w:font w:name="Aptos">
    <w:panose1 w:val="020B0004020202020204"/>
    <w:charset w:val="00"/>
    <w:family w:val="swiss"/>
    <w:pitch w:val="variable"/>
    <w:sig w:usb0="20000287" w:usb1="00000003" w:usb2="00000000" w:usb3="00000000" w:csb0="0000019F" w:csb1="00000000"/>
    <w:embedRegular r:id="rId3" w:fontKey="{A597C27B-9DF6-1544-9230-170EACDA4EE3}"/>
    <w:embedItalic r:id="rId4" w:fontKey="{10620A8C-6885-3F46-BE9C-0C1D7F25298E}"/>
  </w:font>
  <w:font w:name="Play">
    <w:charset w:val="00"/>
    <w:family w:val="auto"/>
    <w:pitch w:val="default"/>
    <w:embedRegular r:id="rId5" w:fontKey="{D351CB8B-83C1-C941-B0CD-65F7E490EF9E}"/>
  </w:font>
  <w:font w:name="Times New Roman">
    <w:panose1 w:val="02020603050405020304"/>
    <w:charset w:val="00"/>
    <w:family w:val="roman"/>
    <w:pitch w:val="variable"/>
    <w:sig w:usb0="E0002EFF" w:usb1="C000785B" w:usb2="00000009" w:usb3="00000000" w:csb0="000001FF" w:csb1="00000000"/>
    <w:embedRegular r:id="rId6" w:fontKey="{3020E9C6-FDA9-1040-8AF3-044B8E6CF882}"/>
  </w:font>
  <w:font w:name="Calibri">
    <w:panose1 w:val="020F0502020204030204"/>
    <w:charset w:val="00"/>
    <w:family w:val="swiss"/>
    <w:pitch w:val="variable"/>
    <w:sig w:usb0="E4002EFF" w:usb1="C200247B" w:usb2="00000009" w:usb3="00000000" w:csb0="000001FF" w:csb1="00000000"/>
    <w:embedRegular r:id="rId7" w:fontKey="{F5DA8EF3-37AC-A342-BD4C-D25C7698DEF2}"/>
  </w:font>
  <w:font w:name="Cambria">
    <w:panose1 w:val="02040503050406030204"/>
    <w:charset w:val="00"/>
    <w:family w:val="roman"/>
    <w:pitch w:val="variable"/>
    <w:sig w:usb0="E00006FF" w:usb1="420024FF" w:usb2="02000000" w:usb3="00000000" w:csb0="0000019F" w:csb1="00000000"/>
    <w:embedRegular r:id="rId8" w:fontKey="{AC30E45E-516A-B84A-ACC9-AADEC99400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D7685" w14:textId="77777777" w:rsidR="0089413C" w:rsidRDefault="0089413C">
      <w:pPr>
        <w:spacing w:after="0" w:line="240" w:lineRule="auto"/>
      </w:pPr>
      <w:r>
        <w:separator/>
      </w:r>
    </w:p>
  </w:footnote>
  <w:footnote w:type="continuationSeparator" w:id="0">
    <w:p w14:paraId="6F6ECB52" w14:textId="77777777" w:rsidR="0089413C" w:rsidRDefault="0089413C">
      <w:pPr>
        <w:spacing w:after="0" w:line="240" w:lineRule="auto"/>
      </w:pPr>
      <w:r>
        <w:continuationSeparator/>
      </w:r>
    </w:p>
  </w:footnote>
  <w:footnote w:id="1">
    <w:p w14:paraId="4746EE47" w14:textId="77777777" w:rsidR="001E76EA" w:rsidRDefault="001E76EA" w:rsidP="001E76EA">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Lorenz, P., K. </w:t>
      </w:r>
      <w:proofErr w:type="spellStart"/>
      <w:r>
        <w:rPr>
          <w:rFonts w:ascii="Times New Roman" w:eastAsia="Times New Roman" w:hAnsi="Times New Roman" w:cs="Times New Roman"/>
          <w:color w:val="000000"/>
          <w:sz w:val="20"/>
          <w:szCs w:val="20"/>
        </w:rPr>
        <w:t>Perset</w:t>
      </w:r>
      <w:proofErr w:type="spellEnd"/>
      <w:r>
        <w:rPr>
          <w:rFonts w:ascii="Times New Roman" w:eastAsia="Times New Roman" w:hAnsi="Times New Roman" w:cs="Times New Roman"/>
          <w:color w:val="000000"/>
          <w:sz w:val="20"/>
          <w:szCs w:val="20"/>
        </w:rPr>
        <w:t xml:space="preserve"> and J. Berryhill (2023), “Initial policy considerations for generative artificial intelligence”, in OECD Artificial Intelligence Papers, OECD Publishing, Paris,</w:t>
      </w:r>
      <w:hyperlink r:id="rId1">
        <w:r>
          <w:rPr>
            <w:rFonts w:ascii="Times New Roman" w:eastAsia="Times New Roman" w:hAnsi="Times New Roman" w:cs="Times New Roman"/>
            <w:color w:val="000000"/>
            <w:sz w:val="20"/>
            <w:szCs w:val="20"/>
          </w:rPr>
          <w:t>https://www.oecd-ilibrary.org/science-and-technology/initial-policy-considerations-for-</w:t>
        </w:r>
      </w:hyperlink>
      <w:r>
        <w:rPr>
          <w:rFonts w:ascii="Times New Roman" w:eastAsia="Times New Roman" w:hAnsi="Times New Roman" w:cs="Times New Roman"/>
          <w:color w:val="000000"/>
          <w:sz w:val="20"/>
          <w:szCs w:val="20"/>
        </w:rPr>
        <w:t> generative-artificial-intelligence_fae2d1e6-en (accessed on 5 June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CA4EA9"/>
    <w:multiLevelType w:val="multilevel"/>
    <w:tmpl w:val="D04EDE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7574909"/>
    <w:multiLevelType w:val="multilevel"/>
    <w:tmpl w:val="5BBCC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4475071">
    <w:abstractNumId w:val="0"/>
  </w:num>
  <w:num w:numId="2" w16cid:durableId="5008521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764"/>
    <w:rsid w:val="000C5764"/>
    <w:rsid w:val="00157BFF"/>
    <w:rsid w:val="0017158F"/>
    <w:rsid w:val="001E2116"/>
    <w:rsid w:val="001E76EA"/>
    <w:rsid w:val="00205946"/>
    <w:rsid w:val="0023245F"/>
    <w:rsid w:val="002C29F8"/>
    <w:rsid w:val="00426C70"/>
    <w:rsid w:val="004414CE"/>
    <w:rsid w:val="005F7E4B"/>
    <w:rsid w:val="00677E90"/>
    <w:rsid w:val="006B1BF2"/>
    <w:rsid w:val="00711694"/>
    <w:rsid w:val="007A2BFA"/>
    <w:rsid w:val="007D16F9"/>
    <w:rsid w:val="0089413C"/>
    <w:rsid w:val="009314E8"/>
    <w:rsid w:val="00C34CDD"/>
    <w:rsid w:val="00CA60A1"/>
    <w:rsid w:val="00CB32F9"/>
    <w:rsid w:val="00F26D5F"/>
    <w:rsid w:val="00F50C63"/>
    <w:rsid w:val="00F561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DABE541"/>
  <w15:docId w15:val="{89140AD3-848F-8E4B-873F-B74C63FE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ListParagraph">
    <w:name w:val="List Paragraph"/>
    <w:basedOn w:val="Normal"/>
    <w:uiPriority w:val="34"/>
    <w:qFormat/>
    <w:rsid w:val="007116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oecd-ilibrary.org/science-and-technology/initial-policy-considerations-f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Lizar</cp:lastModifiedBy>
  <cp:revision>2</cp:revision>
  <dcterms:created xsi:type="dcterms:W3CDTF">2025-04-04T12:34:00Z</dcterms:created>
  <dcterms:modified xsi:type="dcterms:W3CDTF">2025-04-04T12:34:00Z</dcterms:modified>
</cp:coreProperties>
</file>