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10D1C8" w14:textId="2C927C47" w:rsidR="005D006A" w:rsidRDefault="002D099E" w:rsidP="005D006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2F2F2" w:themeFill="background1" w:themeFillShade="F2"/>
      </w:pPr>
      <w:r>
        <w:rPr>
          <w:b/>
        </w:rPr>
        <w:t xml:space="preserve">RGW: </w:t>
      </w:r>
      <w:r w:rsidR="005D006A">
        <w:rPr>
          <w:b/>
        </w:rPr>
        <w:t>Prefatory note:</w:t>
      </w:r>
    </w:p>
    <w:p w14:paraId="34251C59" w14:textId="541E083B" w:rsidR="005D006A" w:rsidRDefault="005D006A" w:rsidP="005D006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2F2F2" w:themeFill="background1" w:themeFillShade="F2"/>
      </w:pPr>
      <w:r>
        <w:t xml:space="preserve">I have located the most recent KI Notice re. </w:t>
      </w:r>
      <w:proofErr w:type="gramStart"/>
      <w:r>
        <w:t>adoption</w:t>
      </w:r>
      <w:proofErr w:type="gramEnd"/>
      <w:r>
        <w:t xml:space="preserve"> of </w:t>
      </w:r>
      <w:proofErr w:type="spellStart"/>
      <w:r>
        <w:t>ImpResources</w:t>
      </w:r>
      <w:proofErr w:type="spellEnd"/>
      <w:r>
        <w:t xml:space="preserve"> A-3-2, which is referenced here:</w:t>
      </w:r>
      <w:r>
        <w:br/>
      </w:r>
      <w:hyperlink r:id="rId6" w:history="1">
        <w:r>
          <w:rPr>
            <w:rStyle w:val="Hyperlink"/>
          </w:rPr>
          <w:t>https://kantarainitiative.org/download/kiaf-1430-identity-assurance-framework-nist-sp-800-63a-service-assessment-criteria-sac-statement-of-criteria-applicability-soca/</w:t>
        </w:r>
      </w:hyperlink>
    </w:p>
    <w:p w14:paraId="7D6D2A12" w14:textId="01AF5E1D" w:rsidR="005D006A" w:rsidRDefault="005D006A" w:rsidP="005D006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2F2F2" w:themeFill="background1" w:themeFillShade="F2"/>
      </w:pPr>
      <w:proofErr w:type="gramStart"/>
      <w:r>
        <w:t>and</w:t>
      </w:r>
      <w:proofErr w:type="gramEnd"/>
      <w:r>
        <w:t xml:space="preserve"> that </w:t>
      </w:r>
      <w:r>
        <w:t>refers and hyper-links to ‘IAF Notice #23-01’, which goes to</w:t>
      </w:r>
      <w:r>
        <w:br/>
      </w:r>
      <w:hyperlink r:id="rId7" w:history="1">
        <w:r>
          <w:rPr>
            <w:rStyle w:val="Hyperlink"/>
          </w:rPr>
          <w:t>https://kantarainitiative.org/wp-content/uploads/2023/09/IAF_Notice__23-01_63A-T5-1.pdf?x21808</w:t>
        </w:r>
      </w:hyperlink>
    </w:p>
    <w:p w14:paraId="720BCD0C" w14:textId="77777777" w:rsidR="005D006A" w:rsidRDefault="005D006A" w:rsidP="005D006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2F2F2" w:themeFill="background1" w:themeFillShade="F2"/>
      </w:pPr>
      <w:r>
        <w:t xml:space="preserve">Regrettably, that Notice does not identify itself as Notice KI#2023-01, which of course would be a nonconformity against CO#0190 c) were Kantara Initiative to be the subject of its own criteria!  However, with a wee modification it serves as an excellent </w:t>
      </w:r>
      <w:r w:rsidRPr="005D006A">
        <w:rPr>
          <w:i/>
        </w:rPr>
        <w:t>pro forma</w:t>
      </w:r>
      <w:r>
        <w:t xml:space="preserve"> which, I suggest, this proposed notice should adopt.</w:t>
      </w:r>
      <w:r>
        <w:br/>
      </w:r>
    </w:p>
    <w:p w14:paraId="341D5A4F" w14:textId="77777777" w:rsidR="002D099E" w:rsidRDefault="005D006A" w:rsidP="005D006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2F2F2" w:themeFill="background1" w:themeFillShade="F2"/>
      </w:pPr>
      <w:r>
        <w:t>As discussed, I recommend that KI sets up a specific ‘NOTICES’ page, which should be referenced from the wiki, where all Notic</w:t>
      </w:r>
      <w:r w:rsidR="00AE67B7">
        <w:t>es can be found, including whet</w:t>
      </w:r>
      <w:r>
        <w:t>h</w:t>
      </w:r>
      <w:r w:rsidR="00AE67B7">
        <w:t>e</w:t>
      </w:r>
      <w:r>
        <w:t>r they are (Draft?), Current or Expired/Rescinded</w:t>
      </w:r>
      <w:r w:rsidR="00AE67B7">
        <w:t xml:space="preserve">.  </w:t>
      </w:r>
      <w:proofErr w:type="spellStart"/>
      <w:r w:rsidR="00AE67B7">
        <w:t>Sfair</w:t>
      </w:r>
      <w:proofErr w:type="spellEnd"/>
      <w:r w:rsidR="00AE67B7">
        <w:t>, t</w:t>
      </w:r>
      <w:r>
        <w:t xml:space="preserve">he missing notice is the one about </w:t>
      </w:r>
      <w:r w:rsidR="00AE67B7">
        <w:t>assessments not requiring site visits whilst a pandemic was around.  Don’t think that’s ever been rescinded, just lost.</w:t>
      </w:r>
    </w:p>
    <w:p w14:paraId="3FBA2AE5" w14:textId="78507091" w:rsidR="005D006A" w:rsidRDefault="002D099E" w:rsidP="005D006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2F2F2" w:themeFill="background1" w:themeFillShade="F2"/>
      </w:pPr>
      <w:r>
        <w:t>And a point to note, should this not get published before 2025-01-01 then all refs to KI#2024-01 become KI#2025-01.</w:t>
      </w:r>
      <w:r w:rsidR="00AE67B7">
        <w:br/>
      </w:r>
      <w:r w:rsidR="005D006A">
        <w:t>RGW 2024-11-21</w:t>
      </w:r>
    </w:p>
    <w:p w14:paraId="00000001" w14:textId="11923A15" w:rsidR="005C6E4F" w:rsidRDefault="007527A6" w:rsidP="00AE67B7">
      <w:pPr>
        <w:spacing w:before="360" w:after="240"/>
        <w:rPr>
          <w:b/>
        </w:rPr>
      </w:pPr>
      <w:r>
        <w:rPr>
          <w:b/>
        </w:rPr>
        <w:t>Notice KI#2024-01:  Accommodation of Passkeys</w:t>
      </w:r>
    </w:p>
    <w:p w14:paraId="00000003" w14:textId="559E503A" w:rsidR="005C6E4F" w:rsidRDefault="007527A6">
      <w:r>
        <w:t xml:space="preserve">Industry is currently faced with widespread adoption of </w:t>
      </w:r>
      <w:commentRangeStart w:id="0"/>
      <w:proofErr w:type="spellStart"/>
      <w:r w:rsidR="002D099E">
        <w:rPr>
          <w:rFonts w:ascii="Calibri" w:hAnsi="Calibri" w:cs="Calibri"/>
          <w:color w:val="1F497D"/>
        </w:rPr>
        <w:t>Synch</w:t>
      </w:r>
      <w:r>
        <w:rPr>
          <w:rFonts w:ascii="Calibri" w:hAnsi="Calibri" w:cs="Calibri"/>
          <w:color w:val="1F497D"/>
        </w:rPr>
        <w:t>able</w:t>
      </w:r>
      <w:proofErr w:type="spellEnd"/>
      <w:r>
        <w:rPr>
          <w:rFonts w:ascii="Calibri" w:hAnsi="Calibri" w:cs="Calibri"/>
          <w:color w:val="1F497D"/>
        </w:rPr>
        <w:t xml:space="preserve"> A</w:t>
      </w:r>
      <w:r w:rsidR="002D099E">
        <w:rPr>
          <w:rFonts w:ascii="Calibri" w:hAnsi="Calibri" w:cs="Calibri"/>
          <w:color w:val="1F497D"/>
        </w:rPr>
        <w:t>uth</w:t>
      </w:r>
      <w:r>
        <w:rPr>
          <w:rFonts w:ascii="Calibri" w:hAnsi="Calibri" w:cs="Calibri"/>
          <w:color w:val="1F497D"/>
        </w:rPr>
        <w:t>enticators</w:t>
      </w:r>
      <w:r w:rsidR="002D099E">
        <w:rPr>
          <w:rFonts w:ascii="Calibri" w:hAnsi="Calibri" w:cs="Calibri"/>
          <w:color w:val="1F497D"/>
        </w:rPr>
        <w:t xml:space="preserve"> </w:t>
      </w:r>
      <w:commentRangeEnd w:id="0"/>
      <w:r>
        <w:rPr>
          <w:rStyle w:val="CommentReference"/>
        </w:rPr>
        <w:commentReference w:id="0"/>
      </w:r>
      <w:r w:rsidR="002D099E">
        <w:rPr>
          <w:rFonts w:ascii="Calibri" w:hAnsi="Calibri" w:cs="Calibri"/>
          <w:color w:val="1F497D"/>
        </w:rPr>
        <w:t>implemented using the FIDO specification &lt;&lt;name here&gt;&gt;</w:t>
      </w:r>
      <w:r>
        <w:rPr>
          <w:rFonts w:ascii="Calibri" w:hAnsi="Calibri" w:cs="Calibri"/>
          <w:color w:val="1F497D"/>
        </w:rPr>
        <w:t xml:space="preserve"> (‘</w:t>
      </w:r>
      <w:r>
        <w:t>Passkeys’)</w:t>
      </w:r>
      <w:r>
        <w:t xml:space="preserve"> which have been identified as a valuable improvement over password authentication.  Their increasing use is quickly establishing them as a </w:t>
      </w:r>
      <w:r>
        <w:t>significant technology, such that they cannot be ignored.</w:t>
      </w:r>
    </w:p>
    <w:p w14:paraId="00000004" w14:textId="77777777" w:rsidR="005C6E4F" w:rsidRDefault="007527A6">
      <w:r>
        <w:t xml:space="preserve">However, the use of any variant of Passkeys presently creates difficulties in assessing criteria for which the CSP is unable to provide evidence of conformity because the criteria address functions </w:t>
      </w:r>
      <w:r>
        <w:t>which are beyond t</w:t>
      </w:r>
      <w:bookmarkStart w:id="1" w:name="_GoBack"/>
      <w:bookmarkEnd w:id="1"/>
      <w:r>
        <w:t xml:space="preserve">he control or visibility of the CSP.  Consequently, KI’s Assessors are unable to determine meaningful findings that provide confidence of compliance to such criteria. </w:t>
      </w:r>
    </w:p>
    <w:p w14:paraId="00000005" w14:textId="77777777" w:rsidR="005C6E4F" w:rsidRDefault="007527A6">
      <w:r>
        <w:t>Kantara Initiative is in the process of assessing the risks and defini</w:t>
      </w:r>
      <w:r>
        <w:t>ng such criteria that will provide the necessary confidence that compliance can be met.</w:t>
      </w:r>
    </w:p>
    <w:p w14:paraId="00000006" w14:textId="77777777" w:rsidR="005C6E4F" w:rsidRDefault="007527A6">
      <w:r>
        <w:t xml:space="preserve">Until that is completed and communicated, CSPs which deploy </w:t>
      </w:r>
      <w:commentRangeStart w:id="2"/>
      <w:r>
        <w:t xml:space="preserve">any variant of Passkeys </w:t>
      </w:r>
      <w:commentRangeEnd w:id="2"/>
      <w:r>
        <w:rPr>
          <w:rStyle w:val="CommentReference"/>
        </w:rPr>
        <w:commentReference w:id="2"/>
      </w:r>
      <w:r>
        <w:t xml:space="preserve">shall mark the criteria listed below as having the following applicability: </w:t>
      </w:r>
    </w:p>
    <w:p w14:paraId="00000007" w14:textId="77777777" w:rsidR="005C6E4F" w:rsidRDefault="007527A6" w:rsidP="00C04C77">
      <w:pPr>
        <w:spacing w:after="240"/>
        <w:ind w:left="709" w:hanging="142"/>
      </w:pPr>
      <w:bookmarkStart w:id="3" w:name="_heading=h.gjdgxs" w:colFirst="0" w:colLast="0"/>
      <w:bookmarkEnd w:id="3"/>
      <w:r>
        <w:t>“In sco</w:t>
      </w:r>
      <w:r>
        <w:t>pe – Not applicable to Passkeys</w:t>
      </w:r>
      <w:r>
        <w:br/>
        <w:t>Refer to Notice KI#2024-01”</w:t>
      </w:r>
    </w:p>
    <w:p w14:paraId="00000009" w14:textId="038FE88C" w:rsidR="005C6E4F" w:rsidRPr="00C04C77" w:rsidRDefault="00C04C77" w:rsidP="00C04C77">
      <w:pPr>
        <w:spacing w:before="240"/>
        <w:ind w:left="3119" w:hanging="3119"/>
      </w:pPr>
      <w:r>
        <w:t>The</w:t>
      </w:r>
      <w:r w:rsidR="007527A6" w:rsidRPr="00C04C77">
        <w:t xml:space="preserve"> affected </w:t>
      </w:r>
      <w:r w:rsidRPr="00C04C77">
        <w:t>63B#</w:t>
      </w:r>
      <w:r>
        <w:t xml:space="preserve"> </w:t>
      </w:r>
      <w:r w:rsidR="007527A6" w:rsidRPr="00C04C77">
        <w:t>criteria</w:t>
      </w:r>
      <w:r>
        <w:t xml:space="preserve"> are:</w:t>
      </w:r>
      <w:r>
        <w:tab/>
      </w:r>
      <w:r w:rsidRPr="00C04C77">
        <w:t>041</w:t>
      </w:r>
      <w:r>
        <w:t>0, 0420,0430, 0440, 0450, 0460;</w:t>
      </w:r>
      <w:r>
        <w:br/>
        <w:t>1150,   1160;</w:t>
      </w:r>
      <w:r>
        <w:br/>
        <w:t>1210, 1220, 1230, 1240;</w:t>
      </w:r>
      <w:r>
        <w:br/>
      </w:r>
      <w:r w:rsidRPr="00C04C77">
        <w:lastRenderedPageBreak/>
        <w:t>1270, 1280</w:t>
      </w:r>
      <w:r>
        <w:t>, 1290, 1300, 1310, 1320, 1330;</w:t>
      </w:r>
      <w:r>
        <w:br/>
      </w:r>
      <w:r w:rsidRPr="00C04C77">
        <w:t>1450, 1460, 1470, 1480, 1490, 1500, 1510, 1520, 1530, 1540, 1550</w:t>
      </w:r>
      <w:r>
        <w:t>.</w:t>
      </w:r>
    </w:p>
    <w:p w14:paraId="4DCFD172" w14:textId="77777777" w:rsidR="002D099E" w:rsidRPr="002D099E" w:rsidRDefault="002D099E">
      <w:pPr>
        <w:rPr>
          <w:b/>
        </w:rPr>
      </w:pPr>
      <w:r w:rsidRPr="002D099E">
        <w:rPr>
          <w:b/>
        </w:rPr>
        <w:t>Recommended Notification</w:t>
      </w:r>
    </w:p>
    <w:p w14:paraId="0000000A" w14:textId="02781EB0" w:rsidR="005C6E4F" w:rsidRDefault="007527A6">
      <w:r>
        <w:t xml:space="preserve">The lack of a means to effectively assess such solutions and therefore their exclusion from the scope of a Kantara Initiative Grant of Approval carries </w:t>
      </w:r>
      <w:r>
        <w:t xml:space="preserve">a degree of unassessed risk within services applying this Notice.  Therefore, Kantara Initiative </w:t>
      </w:r>
      <w:r>
        <w:rPr>
          <w:b/>
          <w:i/>
          <w:u w:val="single"/>
        </w:rPr>
        <w:t>strongly recommends</w:t>
      </w:r>
      <w:r>
        <w:t xml:space="preserve"> that CSPs that use any variant of Passkeys provide to their </w:t>
      </w:r>
      <w:r w:rsidR="002D099E">
        <w:t xml:space="preserve">Service Consumers and Users </w:t>
      </w:r>
      <w:r>
        <w:t>notice of their use of those Passkeys and stress th</w:t>
      </w:r>
      <w:r>
        <w:t>at these include NIST SP 800-63 requirements that cannot be controlled or monitored by the CSP.</w:t>
      </w:r>
    </w:p>
    <w:p w14:paraId="0000000B" w14:textId="77777777" w:rsidR="005C6E4F" w:rsidRDefault="007527A6">
      <w:r>
        <w:t>Kantara Initiative therefore, shall not be liable for any risk to any party should the above recommendation not be followed.</w:t>
      </w:r>
    </w:p>
    <w:p w14:paraId="0000000C" w14:textId="77777777" w:rsidR="005C6E4F" w:rsidRDefault="007527A6" w:rsidP="002D099E">
      <w:pPr>
        <w:spacing w:before="720"/>
      </w:pPr>
      <w:r>
        <w:t>This notice is subject to change an</w:t>
      </w:r>
      <w:r>
        <w:t>d will be updated as and when further detail, guidance or recommendation is available.</w:t>
      </w:r>
    </w:p>
    <w:sectPr w:rsidR="005C6E4F">
      <w:pgSz w:w="15840" w:h="12240" w:orient="landscape"/>
      <w:pgMar w:top="284" w:right="284" w:bottom="284" w:left="284" w:header="284" w:footer="284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RGW" w:date="2024-11-21T17:32:00Z" w:initials="RGW">
    <w:p w14:paraId="55D967AB" w14:textId="28D71B6B" w:rsidR="007527A6" w:rsidRDefault="007527A6">
      <w:pPr>
        <w:pStyle w:val="CommentText"/>
      </w:pPr>
      <w:r>
        <w:rPr>
          <w:rStyle w:val="CommentReference"/>
        </w:rPr>
        <w:annotationRef/>
      </w:r>
      <w:r>
        <w:t>Should this be capitalized?  Is it a proper noun or just a descriptor?</w:t>
      </w:r>
    </w:p>
  </w:comment>
  <w:comment w:id="2" w:author="RGW" w:date="2024-11-21T17:33:00Z" w:initials="RGW">
    <w:p w14:paraId="5F4394A3" w14:textId="52EBA48F" w:rsidR="007527A6" w:rsidRDefault="007527A6">
      <w:pPr>
        <w:pStyle w:val="CommentText"/>
      </w:pPr>
      <w:r>
        <w:rPr>
          <w:rStyle w:val="CommentReference"/>
        </w:rPr>
        <w:annotationRef/>
      </w:r>
      <w:r>
        <w:t>Except we’re citing one (or more?) specific specification(s) in the first line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1" w:fontKey="{D150883F-C225-4858-9902-65E5C3A4D34E}"/>
    <w:embedBold r:id="rId2" w:fontKey="{3E73B233-989E-460B-B240-738403F1DC2C}"/>
    <w:embedItalic r:id="rId3" w:fontKey="{C79C664B-719E-430F-BB35-A5BE937E77FA}"/>
    <w:embedBoldItalic r:id="rId4" w:fontKey="{CADB51A7-DA1B-4ABC-A08C-A330A938A2B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23346DB9-29D8-413A-81A4-F966D4D0E9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D6CD6F2-56C7-49F4-AFF5-310FA90547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34F5454-9682-4E63-B40A-CDC608F6BD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E4F"/>
    <w:rsid w:val="002D099E"/>
    <w:rsid w:val="005C6E4F"/>
    <w:rsid w:val="005D006A"/>
    <w:rsid w:val="007527A6"/>
    <w:rsid w:val="009E26CD"/>
    <w:rsid w:val="00AE67B7"/>
    <w:rsid w:val="00C04C77"/>
    <w:rsid w:val="00D83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ptos" w:eastAsia="Aptos" w:hAnsi="Aptos" w:cs="Aptos"/>
        <w:sz w:val="22"/>
        <w:szCs w:val="22"/>
        <w:lang w:val="en-U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A97"/>
  </w:style>
  <w:style w:type="paragraph" w:styleId="Heading1">
    <w:name w:val="heading 1"/>
    <w:basedOn w:val="Normal"/>
    <w:next w:val="Normal"/>
    <w:link w:val="Heading1Char"/>
    <w:uiPriority w:val="9"/>
    <w:qFormat/>
    <w:rsid w:val="000E4A97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4A97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4A97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4A97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4A97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4A97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4A97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4A97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4A97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E4A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E4A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4A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4A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4A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4A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4A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4A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4A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4A97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E4A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 w:line="259" w:lineRule="auto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4A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4A97"/>
    <w:pPr>
      <w:spacing w:before="160" w:after="160" w:line="259" w:lineRule="auto"/>
      <w:jc w:val="center"/>
    </w:pPr>
    <w:rPr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0E4A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4A97"/>
    <w:pPr>
      <w:spacing w:after="160" w:line="259" w:lineRule="auto"/>
      <w:ind w:left="720"/>
      <w:contextualSpacing/>
    </w:pPr>
    <w:rPr>
      <w:kern w:val="2"/>
    </w:rPr>
  </w:style>
  <w:style w:type="character" w:styleId="IntenseEmphasis">
    <w:name w:val="Intense Emphasis"/>
    <w:basedOn w:val="DefaultParagraphFont"/>
    <w:uiPriority w:val="21"/>
    <w:qFormat/>
    <w:rsid w:val="000E4A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4A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4A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4A97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0E4A9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0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17D"/>
    <w:rPr>
      <w:rFonts w:ascii="Tahoma" w:hAnsi="Tahoma" w:cs="Tahoma"/>
      <w:kern w:val="0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5D006A"/>
    <w:rPr>
      <w:color w:val="467886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527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27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27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27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27A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ptos" w:eastAsia="Aptos" w:hAnsi="Aptos" w:cs="Aptos"/>
        <w:sz w:val="22"/>
        <w:szCs w:val="22"/>
        <w:lang w:val="en-U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A97"/>
  </w:style>
  <w:style w:type="paragraph" w:styleId="Heading1">
    <w:name w:val="heading 1"/>
    <w:basedOn w:val="Normal"/>
    <w:next w:val="Normal"/>
    <w:link w:val="Heading1Char"/>
    <w:uiPriority w:val="9"/>
    <w:qFormat/>
    <w:rsid w:val="000E4A97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4A97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4A97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4A97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4A97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4A97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4A97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4A97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4A97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E4A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E4A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4A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4A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4A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4A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4A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4A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4A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4A97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E4A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 w:line="259" w:lineRule="auto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4A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4A97"/>
    <w:pPr>
      <w:spacing w:before="160" w:after="160" w:line="259" w:lineRule="auto"/>
      <w:jc w:val="center"/>
    </w:pPr>
    <w:rPr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0E4A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4A97"/>
    <w:pPr>
      <w:spacing w:after="160" w:line="259" w:lineRule="auto"/>
      <w:ind w:left="720"/>
      <w:contextualSpacing/>
    </w:pPr>
    <w:rPr>
      <w:kern w:val="2"/>
    </w:rPr>
  </w:style>
  <w:style w:type="character" w:styleId="IntenseEmphasis">
    <w:name w:val="Intense Emphasis"/>
    <w:basedOn w:val="DefaultParagraphFont"/>
    <w:uiPriority w:val="21"/>
    <w:qFormat/>
    <w:rsid w:val="000E4A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4A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4A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4A97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0E4A9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0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17D"/>
    <w:rPr>
      <w:rFonts w:ascii="Tahoma" w:hAnsi="Tahoma" w:cs="Tahoma"/>
      <w:kern w:val="0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5D006A"/>
    <w:rPr>
      <w:color w:val="467886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527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27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27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27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27A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3" Type="http://schemas.microsoft.com/office/2007/relationships/stylesWithEffects" Target="stylesWithEffects.xml"/><Relationship Id="rId7" Type="http://schemas.openxmlformats.org/officeDocument/2006/relationships/hyperlink" Target="https://kantarainitiative.org/wp-content/uploads/2023/09/IAF_Notice__23-01_63A-T5-1.pdf?x21808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kantarainitiative.org/download/kiaf-1430-identity-assurance-framework-nist-sp-800-63a-service-assessment-criteria-sac-statement-of-criteria-applicability-soca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VWD8tD2YpTrxtYWQKEUqE+JaMw==">CgMxLjAyCGguZ2pkZ3hzOAByITE0ZnlYbHBkbHViOHN2bVlyeU5QY2V1V09zRmYweXBmeg==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556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jung</dc:creator>
  <cp:lastModifiedBy>RGW</cp:lastModifiedBy>
  <cp:revision>3</cp:revision>
  <dcterms:created xsi:type="dcterms:W3CDTF">2024-11-21T17:11:00Z</dcterms:created>
  <dcterms:modified xsi:type="dcterms:W3CDTF">2024-11-21T17:33:00Z</dcterms:modified>
</cp:coreProperties>
</file>